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13AFC" w:rsidRDefault="00000000">
      <w:pPr>
        <w:spacing w:after="40"/>
        <w:jc w:val="center"/>
      </w:pPr>
      <w:r>
        <w:rPr>
          <w:b/>
        </w:rPr>
        <w:t>ОБЩЕСТВО С ОГРАНИЧЕННОЙ ОТВЕТСТВЕННОСТЬЮ «РКО ГРУПП»</w:t>
      </w:r>
    </w:p>
    <w:p w:rsidR="00813AFC" w:rsidRDefault="00000000">
      <w:pPr>
        <w:spacing w:after="40"/>
        <w:jc w:val="center"/>
      </w:pPr>
      <w:r>
        <w:rPr>
          <w:sz w:val="22"/>
        </w:rPr>
        <w:t>ИНН 5018208873 • ОГРН 1215000081548</w:t>
      </w:r>
    </w:p>
    <w:p w:rsidR="00813AFC" w:rsidRDefault="00000000">
      <w:pPr>
        <w:spacing w:after="800"/>
        <w:jc w:val="center"/>
      </w:pPr>
      <w:r>
        <w:rPr>
          <w:sz w:val="22"/>
        </w:rPr>
        <w:t>141092, Московская область, г. Королёв, мкр Юбилейный, ул. Лесная, д. 14б, офис 447</w:t>
      </w:r>
    </w:p>
    <w:p w:rsidR="00813AFC" w:rsidRDefault="00000000">
      <w:pPr>
        <w:pStyle w:val="DocTitle"/>
        <w:spacing w:after="240"/>
        <w:jc w:val="center"/>
      </w:pPr>
      <w:r>
        <w:t>Руководство пользователя</w:t>
      </w:r>
    </w:p>
    <w:p w:rsidR="00813AFC" w:rsidRDefault="00000000">
      <w:pPr>
        <w:pStyle w:val="SubTitleCenter"/>
        <w:spacing w:after="360"/>
        <w:jc w:val="center"/>
      </w:pPr>
      <w:r>
        <w:t>программы для ЭВМ «Личный Кабинет Агента. Лика 2.0»</w:t>
      </w:r>
    </w:p>
    <w:tbl>
      <w:tblPr>
        <w:tblW w:w="0" w:type="auto"/>
        <w:jc w:val="center"/>
        <w:tblBorders>
          <w:top w:val="single" w:sz="8" w:space="0" w:color="B7C9E2"/>
          <w:left w:val="single" w:sz="8" w:space="0" w:color="B7C9E2"/>
          <w:bottom w:val="single" w:sz="8" w:space="0" w:color="B7C9E2"/>
          <w:right w:val="single" w:sz="8" w:space="0" w:color="B7C9E2"/>
          <w:insideH w:val="single" w:sz="8" w:space="0" w:color="B7C9E2"/>
          <w:insideV w:val="single" w:sz="8" w:space="0" w:color="B7C9E2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5102"/>
      </w:tblGrid>
      <w:tr w:rsidR="00813AFC">
        <w:trPr>
          <w:jc w:val="center"/>
        </w:trPr>
        <w:tc>
          <w:tcPr>
            <w:tcW w:w="3402" w:type="dxa"/>
            <w:shd w:val="clear" w:color="auto" w:fill="EAF2F8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:rsidR="00813AFC" w:rsidRDefault="00000000">
            <w:r>
              <w:rPr>
                <w:b/>
                <w:sz w:val="22"/>
              </w:rPr>
              <w:t>Программа для ЭВМ</w:t>
            </w:r>
          </w:p>
        </w:tc>
        <w:tc>
          <w:tcPr>
            <w:tcW w:w="5102" w:type="dxa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:rsidR="00813AFC" w:rsidRDefault="00000000">
            <w:r>
              <w:rPr>
                <w:sz w:val="22"/>
              </w:rPr>
              <w:t>Личный Кабинет Агента. Лика 2.0</w:t>
            </w:r>
          </w:p>
        </w:tc>
      </w:tr>
      <w:tr w:rsidR="00813AFC">
        <w:trPr>
          <w:jc w:val="center"/>
        </w:trPr>
        <w:tc>
          <w:tcPr>
            <w:tcW w:w="3402" w:type="dxa"/>
            <w:shd w:val="clear" w:color="auto" w:fill="EAF2F8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:rsidR="00813AFC" w:rsidRDefault="00000000">
            <w:r>
              <w:rPr>
                <w:b/>
                <w:sz w:val="22"/>
              </w:rPr>
              <w:t>Правообладатель</w:t>
            </w:r>
          </w:p>
        </w:tc>
        <w:tc>
          <w:tcPr>
            <w:tcW w:w="5102" w:type="dxa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:rsidR="00813AFC" w:rsidRDefault="00000000">
            <w:r>
              <w:rPr>
                <w:sz w:val="22"/>
              </w:rPr>
              <w:t>ООО «РКО ГРУПП»</w:t>
            </w:r>
          </w:p>
        </w:tc>
      </w:tr>
      <w:tr w:rsidR="00813AFC">
        <w:trPr>
          <w:jc w:val="center"/>
        </w:trPr>
        <w:tc>
          <w:tcPr>
            <w:tcW w:w="3402" w:type="dxa"/>
            <w:shd w:val="clear" w:color="auto" w:fill="EAF2F8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:rsidR="00813AFC" w:rsidRDefault="00000000">
            <w:r>
              <w:rPr>
                <w:b/>
                <w:sz w:val="22"/>
              </w:rPr>
              <w:t>Государственная регистрация</w:t>
            </w:r>
          </w:p>
        </w:tc>
        <w:tc>
          <w:tcPr>
            <w:tcW w:w="5102" w:type="dxa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:rsidR="00813AFC" w:rsidRDefault="00000000">
            <w:r>
              <w:rPr>
                <w:sz w:val="22"/>
              </w:rPr>
              <w:t>Свидетельство Роспатента № 2025662513 от 22.05.2025</w:t>
            </w:r>
          </w:p>
        </w:tc>
      </w:tr>
      <w:tr w:rsidR="00813AFC">
        <w:trPr>
          <w:jc w:val="center"/>
        </w:trPr>
        <w:tc>
          <w:tcPr>
            <w:tcW w:w="3402" w:type="dxa"/>
            <w:shd w:val="clear" w:color="auto" w:fill="EAF2F8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:rsidR="00813AFC" w:rsidRDefault="00000000">
            <w:r>
              <w:rPr>
                <w:b/>
                <w:sz w:val="22"/>
              </w:rPr>
              <w:t>Редакция документа</w:t>
            </w:r>
          </w:p>
        </w:tc>
        <w:tc>
          <w:tcPr>
            <w:tcW w:w="5102" w:type="dxa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:rsidR="00813AFC" w:rsidRDefault="00000000">
            <w:r>
              <w:rPr>
                <w:sz w:val="22"/>
              </w:rPr>
              <w:t>Редакция 1.0</w:t>
            </w:r>
          </w:p>
        </w:tc>
      </w:tr>
      <w:tr w:rsidR="00813AFC">
        <w:trPr>
          <w:jc w:val="center"/>
        </w:trPr>
        <w:tc>
          <w:tcPr>
            <w:tcW w:w="3402" w:type="dxa"/>
            <w:shd w:val="clear" w:color="auto" w:fill="EAF2F8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:rsidR="00813AFC" w:rsidRDefault="00000000">
            <w:r>
              <w:rPr>
                <w:b/>
                <w:sz w:val="22"/>
              </w:rPr>
              <w:t>Дата документа</w:t>
            </w:r>
          </w:p>
        </w:tc>
        <w:tc>
          <w:tcPr>
            <w:tcW w:w="5102" w:type="dxa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:rsidR="00813AFC" w:rsidRDefault="00000000">
            <w:r>
              <w:rPr>
                <w:sz w:val="22"/>
              </w:rPr>
              <w:t>26.03.2026</w:t>
            </w:r>
          </w:p>
        </w:tc>
      </w:tr>
      <w:tr w:rsidR="00813AFC">
        <w:trPr>
          <w:jc w:val="center"/>
        </w:trPr>
        <w:tc>
          <w:tcPr>
            <w:tcW w:w="3402" w:type="dxa"/>
            <w:shd w:val="clear" w:color="auto" w:fill="EAF2F8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:rsidR="00813AFC" w:rsidRDefault="00000000">
            <w:r>
              <w:rPr>
                <w:b/>
                <w:sz w:val="22"/>
              </w:rPr>
              <w:t>Модель распространения</w:t>
            </w:r>
          </w:p>
        </w:tc>
        <w:tc>
          <w:tcPr>
            <w:tcW w:w="5102" w:type="dxa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:rsidR="00813AFC" w:rsidRDefault="00000000">
            <w:r>
              <w:rPr>
                <w:sz w:val="22"/>
              </w:rPr>
              <w:t>Интернет-сервис (SaaS)</w:t>
            </w:r>
          </w:p>
        </w:tc>
      </w:tr>
    </w:tbl>
    <w:p w:rsidR="00813AFC" w:rsidRDefault="00000000">
      <w:pPr>
        <w:spacing w:before="440" w:after="0"/>
        <w:jc w:val="center"/>
      </w:pPr>
      <w:r>
        <w:t>Москва, 2026</w:t>
      </w:r>
    </w:p>
    <w:p w:rsidR="00813AFC" w:rsidRDefault="00000000">
      <w:r>
        <w:br w:type="page"/>
      </w:r>
    </w:p>
    <w:tbl>
      <w:tblPr>
        <w:tblW w:w="0" w:type="auto"/>
        <w:jc w:val="center"/>
        <w:tblBorders>
          <w:top w:val="single" w:sz="6" w:space="0" w:color="D5DFEC"/>
          <w:left w:val="single" w:sz="6" w:space="0" w:color="D5DFEC"/>
          <w:bottom w:val="single" w:sz="6" w:space="0" w:color="D5DFEC"/>
          <w:right w:val="single" w:sz="6" w:space="0" w:color="D5DFEC"/>
          <w:insideH w:val="single" w:sz="6" w:space="0" w:color="D5DFEC"/>
          <w:insideV w:val="single" w:sz="6" w:space="0" w:color="D5DFEC"/>
        </w:tblBorders>
        <w:tblLook w:val="04A0" w:firstRow="1" w:lastRow="0" w:firstColumn="1" w:lastColumn="0" w:noHBand="0" w:noVBand="1"/>
      </w:tblPr>
      <w:tblGrid>
        <w:gridCol w:w="9957"/>
      </w:tblGrid>
      <w:tr w:rsidR="00813AFC">
        <w:trPr>
          <w:jc w:val="center"/>
        </w:trPr>
        <w:tc>
          <w:tcPr>
            <w:tcW w:w="9973" w:type="dxa"/>
            <w:shd w:val="clear" w:color="auto" w:fill="F2F6FC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:rsidR="00813AFC" w:rsidRDefault="00000000">
            <w:r>
              <w:rPr>
                <w:sz w:val="20"/>
              </w:rPr>
              <w:lastRenderedPageBreak/>
              <w:t>Руководство описывает базовый порядок работы пользователя с программой. Конкретный набор разделов и функций зависит от присвоенной роли и прав доступа.</w:t>
            </w:r>
          </w:p>
        </w:tc>
      </w:tr>
    </w:tbl>
    <w:p w:rsidR="00813AFC" w:rsidRDefault="00813AFC"/>
    <w:p w:rsidR="00813AFC" w:rsidRDefault="00000000">
      <w:pPr>
        <w:pStyle w:val="HeadingCustom1"/>
        <w:spacing w:before="160" w:after="100"/>
      </w:pPr>
      <w:r>
        <w:t>1. Общие сведения</w:t>
      </w:r>
    </w:p>
    <w:p w:rsidR="00813AFC" w:rsidRDefault="00000000">
      <w:pPr>
        <w:ind w:firstLine="709"/>
        <w:jc w:val="both"/>
      </w:pPr>
      <w:r>
        <w:t>Программа для ЭВМ «Личный Кабинет Агента. Лика 2.0» представляет собой веб-ориентированный личный кабинет для работы с офферами, заявками, статусами, аналитикой и сведениями о начислениях и выплатах.</w:t>
      </w:r>
    </w:p>
    <w:p w:rsidR="00813AFC" w:rsidRDefault="00000000">
      <w:pPr>
        <w:ind w:firstLine="709"/>
        <w:jc w:val="both"/>
      </w:pPr>
      <w:r>
        <w:t>Доступ к программе осуществляется через веб-интерфейс после прохождения авторизации.</w:t>
      </w:r>
    </w:p>
    <w:p w:rsidR="00813AFC" w:rsidRDefault="00000000">
      <w:pPr>
        <w:pStyle w:val="HeadingCustom1"/>
        <w:spacing w:before="160" w:after="100"/>
      </w:pPr>
      <w:r>
        <w:t>2. Начало работы</w:t>
      </w:r>
    </w:p>
    <w:p w:rsidR="00813AFC" w:rsidRDefault="00000000">
      <w:pPr>
        <w:spacing w:after="40"/>
        <w:ind w:left="227" w:hanging="227"/>
      </w:pPr>
      <w:r>
        <w:rPr>
          <w:b/>
        </w:rPr>
        <w:t xml:space="preserve">1. </w:t>
      </w:r>
      <w:r>
        <w:t>Откройте сетевой адрес программы, предоставленный правообладателем.</w:t>
      </w:r>
    </w:p>
    <w:p w:rsidR="00813AFC" w:rsidRDefault="00000000">
      <w:pPr>
        <w:spacing w:after="40"/>
        <w:ind w:left="227" w:hanging="227"/>
      </w:pPr>
      <w:r>
        <w:rPr>
          <w:b/>
        </w:rPr>
        <w:t xml:space="preserve">2. </w:t>
      </w:r>
      <w:r>
        <w:t>Введите учетные данные и выполните вход в систему.</w:t>
      </w:r>
    </w:p>
    <w:p w:rsidR="00813AFC" w:rsidRDefault="00000000">
      <w:pPr>
        <w:spacing w:after="40"/>
        <w:ind w:left="227" w:hanging="227"/>
      </w:pPr>
      <w:r>
        <w:rPr>
          <w:b/>
        </w:rPr>
        <w:t xml:space="preserve">3. </w:t>
      </w:r>
      <w:r>
        <w:t>После входа ознакомьтесь с главной страницей и составом доступных разделов.</w:t>
      </w:r>
    </w:p>
    <w:p w:rsidR="00813AFC" w:rsidRDefault="00000000">
      <w:pPr>
        <w:spacing w:after="40"/>
        <w:ind w:left="227" w:hanging="227"/>
      </w:pPr>
      <w:r>
        <w:rPr>
          <w:b/>
        </w:rPr>
        <w:t xml:space="preserve">4. </w:t>
      </w:r>
      <w:r>
        <w:t>При первом входе проверьте корректность профиля и контактных данных, если соответствующий раздел доступен вашей роли.</w:t>
      </w:r>
    </w:p>
    <w:p w:rsidR="00813AFC" w:rsidRDefault="00000000">
      <w:pPr>
        <w:pStyle w:val="HeadingCustom1"/>
        <w:spacing w:before="160" w:after="100"/>
      </w:pPr>
      <w:r>
        <w:t>3. Основные разделы программы</w:t>
      </w:r>
    </w:p>
    <w:tbl>
      <w:tblPr>
        <w:tblW w:w="0" w:type="auto"/>
        <w:jc w:val="center"/>
        <w:tblBorders>
          <w:top w:val="single" w:sz="8" w:space="0" w:color="A6A6A6"/>
          <w:left w:val="single" w:sz="8" w:space="0" w:color="A6A6A6"/>
          <w:bottom w:val="single" w:sz="8" w:space="0" w:color="A6A6A6"/>
          <w:right w:val="single" w:sz="8" w:space="0" w:color="A6A6A6"/>
          <w:insideH w:val="single" w:sz="8" w:space="0" w:color="A6A6A6"/>
          <w:insideV w:val="single" w:sz="8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3005"/>
        <w:gridCol w:w="5613"/>
      </w:tblGrid>
      <w:tr w:rsidR="00813AFC">
        <w:trPr>
          <w:tblHeader/>
          <w:jc w:val="center"/>
        </w:trPr>
        <w:tc>
          <w:tcPr>
            <w:tcW w:w="3005" w:type="dxa"/>
            <w:shd w:val="clear" w:color="auto" w:fill="D9E2F3"/>
            <w:tcMar>
              <w:top w:w="110" w:type="dxa"/>
              <w:left w:w="90" w:type="dxa"/>
              <w:bottom w:w="110" w:type="dxa"/>
              <w:right w:w="90" w:type="dxa"/>
            </w:tcMar>
            <w:vAlign w:val="center"/>
          </w:tcPr>
          <w:p w:rsidR="00813AFC" w:rsidRDefault="00000000">
            <w:pPr>
              <w:jc w:val="center"/>
            </w:pPr>
            <w:r>
              <w:rPr>
                <w:b/>
                <w:sz w:val="21"/>
              </w:rPr>
              <w:t>Раздел</w:t>
            </w:r>
          </w:p>
        </w:tc>
        <w:tc>
          <w:tcPr>
            <w:tcW w:w="5613" w:type="dxa"/>
            <w:shd w:val="clear" w:color="auto" w:fill="D9E2F3"/>
            <w:tcMar>
              <w:top w:w="110" w:type="dxa"/>
              <w:left w:w="90" w:type="dxa"/>
              <w:bottom w:w="110" w:type="dxa"/>
              <w:right w:w="90" w:type="dxa"/>
            </w:tcMar>
            <w:vAlign w:val="center"/>
          </w:tcPr>
          <w:p w:rsidR="00813AFC" w:rsidRDefault="00000000">
            <w:pPr>
              <w:jc w:val="center"/>
            </w:pPr>
            <w:r>
              <w:rPr>
                <w:b/>
                <w:sz w:val="21"/>
              </w:rPr>
              <w:t>Назначение</w:t>
            </w:r>
          </w:p>
        </w:tc>
      </w:tr>
      <w:tr w:rsidR="00813AFC">
        <w:trPr>
          <w:jc w:val="center"/>
        </w:trPr>
        <w:tc>
          <w:tcPr>
            <w:tcW w:w="3005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813AFC" w:rsidRDefault="00000000">
            <w:pPr>
              <w:jc w:val="center"/>
            </w:pPr>
            <w:r>
              <w:rPr>
                <w:sz w:val="21"/>
              </w:rPr>
              <w:t>Офферы</w:t>
            </w:r>
          </w:p>
        </w:tc>
        <w:tc>
          <w:tcPr>
            <w:tcW w:w="5613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813AFC" w:rsidRDefault="00000000">
            <w:r>
              <w:rPr>
                <w:sz w:val="21"/>
              </w:rPr>
              <w:t>Просмотр перечня доступных продуктов, их условий, ограничений и параметров вознаграждения.</w:t>
            </w:r>
          </w:p>
        </w:tc>
      </w:tr>
      <w:tr w:rsidR="00813AFC">
        <w:trPr>
          <w:jc w:val="center"/>
        </w:trPr>
        <w:tc>
          <w:tcPr>
            <w:tcW w:w="3005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813AFC" w:rsidRDefault="00000000">
            <w:pPr>
              <w:jc w:val="center"/>
            </w:pPr>
            <w:r>
              <w:rPr>
                <w:sz w:val="21"/>
              </w:rPr>
              <w:t>Заявки</w:t>
            </w:r>
          </w:p>
        </w:tc>
        <w:tc>
          <w:tcPr>
            <w:tcW w:w="5613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813AFC" w:rsidRDefault="00000000">
            <w:r>
              <w:rPr>
                <w:sz w:val="21"/>
              </w:rPr>
              <w:t>Создание новых заявок, просмотр карточек, истории событий и текущих статусов.</w:t>
            </w:r>
          </w:p>
        </w:tc>
      </w:tr>
      <w:tr w:rsidR="00813AFC">
        <w:trPr>
          <w:jc w:val="center"/>
        </w:trPr>
        <w:tc>
          <w:tcPr>
            <w:tcW w:w="3005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813AFC" w:rsidRDefault="00000000">
            <w:pPr>
              <w:jc w:val="center"/>
            </w:pPr>
            <w:r>
              <w:rPr>
                <w:sz w:val="21"/>
              </w:rPr>
              <w:t>Статистика / аналитика</w:t>
            </w:r>
          </w:p>
        </w:tc>
        <w:tc>
          <w:tcPr>
            <w:tcW w:w="5613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813AFC" w:rsidRDefault="00000000">
            <w:r>
              <w:rPr>
                <w:sz w:val="21"/>
              </w:rPr>
              <w:t>Просмотр показателей по переходам, заявкам, статусам, конверсии и иным метрикам.</w:t>
            </w:r>
          </w:p>
        </w:tc>
      </w:tr>
      <w:tr w:rsidR="00813AFC">
        <w:trPr>
          <w:jc w:val="center"/>
        </w:trPr>
        <w:tc>
          <w:tcPr>
            <w:tcW w:w="3005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813AFC" w:rsidRDefault="00000000">
            <w:pPr>
              <w:jc w:val="center"/>
            </w:pPr>
            <w:r>
              <w:rPr>
                <w:sz w:val="21"/>
              </w:rPr>
              <w:t>Начисления и выплаты</w:t>
            </w:r>
          </w:p>
        </w:tc>
        <w:tc>
          <w:tcPr>
            <w:tcW w:w="5613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813AFC" w:rsidRDefault="00000000">
            <w:r>
              <w:rPr>
                <w:sz w:val="21"/>
              </w:rPr>
              <w:t>Просмотр сведений о начислениях, периодах расчета и статусах выплат.</w:t>
            </w:r>
          </w:p>
        </w:tc>
      </w:tr>
      <w:tr w:rsidR="00813AFC">
        <w:trPr>
          <w:jc w:val="center"/>
        </w:trPr>
        <w:tc>
          <w:tcPr>
            <w:tcW w:w="3005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813AFC" w:rsidRDefault="00000000">
            <w:pPr>
              <w:jc w:val="center"/>
            </w:pPr>
            <w:r>
              <w:rPr>
                <w:sz w:val="21"/>
              </w:rPr>
              <w:t>Уведомления</w:t>
            </w:r>
          </w:p>
        </w:tc>
        <w:tc>
          <w:tcPr>
            <w:tcW w:w="5613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813AFC" w:rsidRDefault="00000000">
            <w:r>
              <w:rPr>
                <w:sz w:val="21"/>
              </w:rPr>
              <w:t>Просмотр системных сообщений и событий, требующих внимания пользователя.</w:t>
            </w:r>
          </w:p>
        </w:tc>
      </w:tr>
      <w:tr w:rsidR="00813AFC">
        <w:trPr>
          <w:jc w:val="center"/>
        </w:trPr>
        <w:tc>
          <w:tcPr>
            <w:tcW w:w="3005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813AFC" w:rsidRDefault="00000000">
            <w:pPr>
              <w:jc w:val="center"/>
            </w:pPr>
            <w:r>
              <w:rPr>
                <w:sz w:val="21"/>
              </w:rPr>
              <w:t>Профиль / настройки</w:t>
            </w:r>
          </w:p>
        </w:tc>
        <w:tc>
          <w:tcPr>
            <w:tcW w:w="5613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813AFC" w:rsidRDefault="00000000">
            <w:r>
              <w:rPr>
                <w:sz w:val="21"/>
              </w:rPr>
              <w:t>Работа с персональными настройками и реквизитами пользователя в пределах доступных прав.</w:t>
            </w:r>
          </w:p>
        </w:tc>
      </w:tr>
    </w:tbl>
    <w:p w:rsidR="00813AFC" w:rsidRDefault="00813AFC"/>
    <w:p w:rsidR="00813AFC" w:rsidRDefault="00000000">
      <w:pPr>
        <w:pStyle w:val="HeadingCustom1"/>
        <w:spacing w:before="160" w:after="100"/>
      </w:pPr>
      <w:r>
        <w:t>4. Работа с офферами</w:t>
      </w:r>
    </w:p>
    <w:p w:rsidR="00813AFC" w:rsidRDefault="00000000">
      <w:pPr>
        <w:spacing w:after="40"/>
        <w:ind w:left="340" w:hanging="227"/>
      </w:pPr>
      <w:r>
        <w:t>• перейдите в раздел «Офферы»;</w:t>
      </w:r>
    </w:p>
    <w:p w:rsidR="00813AFC" w:rsidRDefault="00000000">
      <w:pPr>
        <w:spacing w:after="40"/>
        <w:ind w:left="340" w:hanging="227"/>
      </w:pPr>
      <w:r>
        <w:t>• выберите интересующий продукт и ознакомьтесь с его условиями;</w:t>
      </w:r>
    </w:p>
    <w:p w:rsidR="00813AFC" w:rsidRDefault="00000000">
      <w:pPr>
        <w:spacing w:after="40"/>
        <w:ind w:left="340" w:hanging="227"/>
      </w:pPr>
      <w:r>
        <w:lastRenderedPageBreak/>
        <w:t>• проверьте ограничения, требования к целевому действию и иные существенные параметры;</w:t>
      </w:r>
    </w:p>
    <w:p w:rsidR="00813AFC" w:rsidRDefault="00000000">
      <w:pPr>
        <w:spacing w:after="40"/>
        <w:ind w:left="340" w:hanging="227"/>
      </w:pPr>
      <w:r>
        <w:t>• при необходимости используйте доступные инструменты формирования ссылок и идентификаторов источника.</w:t>
      </w:r>
    </w:p>
    <w:p w:rsidR="00813AFC" w:rsidRDefault="00000000">
      <w:pPr>
        <w:pStyle w:val="HeadingCustom1"/>
        <w:spacing w:before="160" w:after="100"/>
      </w:pPr>
      <w:r>
        <w:t>5. Создание и сопровождение заявки</w:t>
      </w:r>
    </w:p>
    <w:p w:rsidR="00813AFC" w:rsidRDefault="00000000">
      <w:pPr>
        <w:spacing w:after="40"/>
        <w:ind w:left="227" w:hanging="227"/>
      </w:pPr>
      <w:r>
        <w:rPr>
          <w:b/>
        </w:rPr>
        <w:t xml:space="preserve">1. </w:t>
      </w:r>
      <w:r>
        <w:t>Откройте раздел «Заявки» и выберите действие по созданию новой заявки.</w:t>
      </w:r>
    </w:p>
    <w:p w:rsidR="00813AFC" w:rsidRDefault="00000000">
      <w:pPr>
        <w:spacing w:after="40"/>
        <w:ind w:left="227" w:hanging="227"/>
      </w:pPr>
      <w:r>
        <w:rPr>
          <w:b/>
        </w:rPr>
        <w:t xml:space="preserve">2. </w:t>
      </w:r>
      <w:r>
        <w:t>Заполните обязательные поля формы и проверьте введенные данные.</w:t>
      </w:r>
    </w:p>
    <w:p w:rsidR="00813AFC" w:rsidRDefault="00000000">
      <w:pPr>
        <w:spacing w:after="40"/>
        <w:ind w:left="227" w:hanging="227"/>
      </w:pPr>
      <w:r>
        <w:rPr>
          <w:b/>
        </w:rPr>
        <w:t xml:space="preserve">3. </w:t>
      </w:r>
      <w:r>
        <w:t>Сохраните или отправьте заявку в соответствии с логикой программы.</w:t>
      </w:r>
    </w:p>
    <w:p w:rsidR="00813AFC" w:rsidRDefault="00000000">
      <w:pPr>
        <w:spacing w:after="40"/>
        <w:ind w:left="227" w:hanging="227"/>
      </w:pPr>
      <w:r>
        <w:rPr>
          <w:b/>
        </w:rPr>
        <w:t xml:space="preserve">4. </w:t>
      </w:r>
      <w:r>
        <w:t>Отслеживайте дальнейшее изменение статуса в карточке заявки и журнале событий.</w:t>
      </w:r>
    </w:p>
    <w:p w:rsidR="00813AFC" w:rsidRDefault="00000000">
      <w:pPr>
        <w:spacing w:after="40"/>
        <w:ind w:left="227" w:hanging="227"/>
      </w:pPr>
      <w:r>
        <w:rPr>
          <w:b/>
        </w:rPr>
        <w:t xml:space="preserve">5. </w:t>
      </w:r>
      <w:r>
        <w:t>При необходимости используйте фильтры и поиск по списку заявок.</w:t>
      </w:r>
    </w:p>
    <w:p w:rsidR="00813AFC" w:rsidRDefault="00000000">
      <w:pPr>
        <w:pStyle w:val="HeadingCustom1"/>
        <w:spacing w:before="160" w:after="100"/>
      </w:pPr>
      <w:r>
        <w:t>6. Аналитика и выплаты</w:t>
      </w:r>
    </w:p>
    <w:p w:rsidR="00813AFC" w:rsidRDefault="00000000">
      <w:pPr>
        <w:spacing w:after="40"/>
        <w:ind w:left="340" w:hanging="227"/>
      </w:pPr>
      <w:r>
        <w:t>• в аналитических разделах доступны агрегированные показатели по заявкам и результатам обработки;</w:t>
      </w:r>
    </w:p>
    <w:p w:rsidR="00813AFC" w:rsidRDefault="00000000">
      <w:pPr>
        <w:spacing w:after="40"/>
        <w:ind w:left="340" w:hanging="227"/>
      </w:pPr>
      <w:r>
        <w:t>• данные могут быть представлены в виде таблиц, карточек, отчетов и выгрузок;</w:t>
      </w:r>
    </w:p>
    <w:p w:rsidR="00813AFC" w:rsidRDefault="00000000">
      <w:pPr>
        <w:spacing w:after="40"/>
        <w:ind w:left="340" w:hanging="227"/>
      </w:pPr>
      <w:r>
        <w:t>• раздел начислений и выплат содержит сведения о суммах, периодах и статусах расчетов в объеме, доступном конкретной роли.</w:t>
      </w:r>
    </w:p>
    <w:p w:rsidR="00813AFC" w:rsidRDefault="00000000">
      <w:pPr>
        <w:pStyle w:val="HeadingCustom1"/>
        <w:spacing w:before="160" w:after="100"/>
      </w:pPr>
      <w:r>
        <w:t>7. Уведомления и поддержка</w:t>
      </w:r>
    </w:p>
    <w:p w:rsidR="00813AFC" w:rsidRDefault="00000000">
      <w:pPr>
        <w:ind w:firstLine="709"/>
        <w:jc w:val="both"/>
      </w:pPr>
      <w:r>
        <w:t>Программа может отображать уведомления о смене статусов, необходимости действий пользователя и иных значимых событиях. В случае возникновения вопросов по работе программы пользователь вправе обратиться к правообладателю по установленным каналам связи, включая электронную почту support@rko-group.ru.</w:t>
      </w:r>
    </w:p>
    <w:p w:rsidR="00813AFC" w:rsidRDefault="00000000">
      <w:pPr>
        <w:spacing w:after="40"/>
        <w:ind w:left="340" w:hanging="227"/>
      </w:pPr>
      <w:r>
        <w:t>• при описании проблемы рекомендуется указывать дату, время, раздел программы и последовательность действий;</w:t>
      </w:r>
    </w:p>
    <w:p w:rsidR="00813AFC" w:rsidRDefault="00000000">
      <w:pPr>
        <w:spacing w:after="40"/>
        <w:ind w:left="340" w:hanging="227"/>
      </w:pPr>
      <w:r>
        <w:t>• если проблема связана с конкретной заявкой, следует указать ее идентификатор;</w:t>
      </w:r>
    </w:p>
    <w:p w:rsidR="00813AFC" w:rsidRDefault="00000000">
      <w:pPr>
        <w:spacing w:after="40"/>
        <w:ind w:left="340" w:hanging="227"/>
      </w:pPr>
      <w:r>
        <w:t>• при возникновении затруднений в работе рекомендуется приложить скриншот либо иные поясняющие материалы.</w:t>
      </w:r>
    </w:p>
    <w:p w:rsidR="00813AFC" w:rsidRDefault="00000000">
      <w:pPr>
        <w:pStyle w:val="HeadingCustom1"/>
        <w:spacing w:before="160" w:after="100"/>
      </w:pPr>
      <w:r>
        <w:t>8. Информационная безопасность пользователя</w:t>
      </w:r>
    </w:p>
    <w:p w:rsidR="00813AFC" w:rsidRDefault="00000000">
      <w:pPr>
        <w:spacing w:after="40"/>
        <w:ind w:left="340" w:hanging="227"/>
      </w:pPr>
      <w:r>
        <w:t>• не передавайте учетные данные третьим лицам;</w:t>
      </w:r>
    </w:p>
    <w:p w:rsidR="00813AFC" w:rsidRDefault="00000000">
      <w:pPr>
        <w:spacing w:after="40"/>
        <w:ind w:left="340" w:hanging="227"/>
      </w:pPr>
      <w:r>
        <w:t>• завершайте сеанс работы после окончания использования программы;</w:t>
      </w:r>
    </w:p>
    <w:p w:rsidR="00813AFC" w:rsidRDefault="00000000">
      <w:pPr>
        <w:spacing w:after="40"/>
        <w:ind w:left="340" w:hanging="227"/>
      </w:pPr>
      <w:r>
        <w:t>• используйте защищенное рабочее место и актуальный браузер;</w:t>
      </w:r>
    </w:p>
    <w:p w:rsidR="00813AFC" w:rsidRDefault="00000000">
      <w:pPr>
        <w:spacing w:after="40"/>
        <w:ind w:left="340" w:hanging="227"/>
      </w:pPr>
      <w:r>
        <w:t>• при обнаружении подозрительной активности незамедлительно уведомляйте правообладателя.</w:t>
      </w:r>
    </w:p>
    <w:p w:rsidR="00813AFC" w:rsidRDefault="00000000">
      <w:pPr>
        <w:pStyle w:val="HeadingCustom1"/>
        <w:spacing w:before="160" w:after="100"/>
      </w:pPr>
      <w:r>
        <w:t>9. Ограничения</w:t>
      </w:r>
    </w:p>
    <w:p w:rsidR="00813AFC" w:rsidRDefault="00000000">
      <w:pPr>
        <w:spacing w:after="40"/>
        <w:ind w:left="340" w:hanging="227"/>
      </w:pPr>
      <w:r>
        <w:t>• состав доступных пользователю функций определяется ролью и правами доступа;</w:t>
      </w:r>
    </w:p>
    <w:p w:rsidR="00813AFC" w:rsidRDefault="00000000">
      <w:pPr>
        <w:spacing w:after="40"/>
        <w:ind w:left="340" w:hanging="227"/>
      </w:pPr>
      <w:r>
        <w:t>• часть данных и статусов зависит от результатов обмена с внешними системами;</w:t>
      </w:r>
    </w:p>
    <w:p w:rsidR="00813AFC" w:rsidRDefault="00000000">
      <w:pPr>
        <w:spacing w:after="40"/>
        <w:ind w:left="340" w:hanging="227"/>
      </w:pPr>
      <w:r>
        <w:t>• отдельные разделы программы могут быть временно недоступны в период регламентных работ.</w:t>
      </w:r>
    </w:p>
    <w:p w:rsidR="00813AFC" w:rsidRDefault="00000000">
      <w:pPr>
        <w:pStyle w:val="HeadingCustom1"/>
        <w:spacing w:before="160" w:after="100"/>
      </w:pPr>
      <w:r>
        <w:lastRenderedPageBreak/>
        <w:t>10. Заключение</w:t>
      </w:r>
    </w:p>
    <w:p w:rsidR="00813AFC" w:rsidRDefault="00000000">
      <w:pPr>
        <w:ind w:firstLine="709"/>
        <w:jc w:val="both"/>
      </w:pPr>
      <w:r>
        <w:t>Настоящее руководство описывает базовый порядок работы в программе. При развитии функционала правообладатель вправе актуализировать интерфейс, состав разделов и настоящую документацию.</w:t>
      </w:r>
    </w:p>
    <w:sectPr w:rsidR="00813AFC" w:rsidSect="00034616">
      <w:headerReference w:type="default" r:id="rId8"/>
      <w:footerReference w:type="default" r:id="rId9"/>
      <w:pgSz w:w="12240" w:h="15840"/>
      <w:pgMar w:top="1134" w:right="1020" w:bottom="1020" w:left="1247" w:header="720" w:footer="720" w:gutter="0"/>
      <w:pgBorders w:offsetFrom="page">
        <w:top w:val="single" w:sz="4" w:space="18" w:color="D9D9D9"/>
        <w:left w:val="single" w:sz="4" w:space="18" w:color="D9D9D9"/>
        <w:bottom w:val="single" w:sz="4" w:space="18" w:color="D9D9D9"/>
        <w:right w:val="single" w:sz="4" w:space="18" w:color="D9D9D9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42FA2" w:rsidRDefault="00042FA2">
      <w:pPr>
        <w:spacing w:after="0" w:line="240" w:lineRule="auto"/>
      </w:pPr>
      <w:r>
        <w:separator/>
      </w:r>
    </w:p>
  </w:endnote>
  <w:endnote w:type="continuationSeparator" w:id="0">
    <w:p w:rsidR="00042FA2" w:rsidRDefault="00042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13AFC" w:rsidRDefault="00000000">
    <w:pPr>
      <w:pStyle w:val="a7"/>
      <w:jc w:val="center"/>
    </w:pPr>
    <w:r>
      <w:rPr>
        <w:i/>
        <w:sz w:val="18"/>
      </w:rPr>
      <w:t>ООО «РКО ГРУПП»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42FA2" w:rsidRDefault="00042FA2">
      <w:pPr>
        <w:spacing w:after="0" w:line="240" w:lineRule="auto"/>
      </w:pPr>
      <w:r>
        <w:separator/>
      </w:r>
    </w:p>
  </w:footnote>
  <w:footnote w:type="continuationSeparator" w:id="0">
    <w:p w:rsidR="00042FA2" w:rsidRDefault="00042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13AFC" w:rsidRPr="00F8580F" w:rsidRDefault="00000000">
    <w:pPr>
      <w:pStyle w:val="a5"/>
      <w:jc w:val="right"/>
      <w:rPr>
        <w:lang w:val="ru-RU"/>
      </w:rPr>
    </w:pPr>
    <w:r w:rsidRPr="00F8580F">
      <w:rPr>
        <w:i/>
        <w:sz w:val="18"/>
        <w:lang w:val="ru-RU"/>
      </w:rPr>
      <w:t>Личный Кабинет Агента. Лика 2.0 — Руководство пользователя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32674990">
    <w:abstractNumId w:val="8"/>
  </w:num>
  <w:num w:numId="2" w16cid:durableId="387849167">
    <w:abstractNumId w:val="6"/>
  </w:num>
  <w:num w:numId="3" w16cid:durableId="604581017">
    <w:abstractNumId w:val="5"/>
  </w:num>
  <w:num w:numId="4" w16cid:durableId="22169036">
    <w:abstractNumId w:val="4"/>
  </w:num>
  <w:num w:numId="5" w16cid:durableId="483939371">
    <w:abstractNumId w:val="7"/>
  </w:num>
  <w:num w:numId="6" w16cid:durableId="1517504624">
    <w:abstractNumId w:val="3"/>
  </w:num>
  <w:num w:numId="7" w16cid:durableId="2086369180">
    <w:abstractNumId w:val="2"/>
  </w:num>
  <w:num w:numId="8" w16cid:durableId="1572737834">
    <w:abstractNumId w:val="1"/>
  </w:num>
  <w:num w:numId="9" w16cid:durableId="853498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2FA2"/>
    <w:rsid w:val="0006063C"/>
    <w:rsid w:val="0015074B"/>
    <w:rsid w:val="0029639D"/>
    <w:rsid w:val="00326F90"/>
    <w:rsid w:val="00813AFC"/>
    <w:rsid w:val="00A956E7"/>
    <w:rsid w:val="00AA1D8D"/>
    <w:rsid w:val="00B47730"/>
    <w:rsid w:val="00CB0664"/>
    <w:rsid w:val="00F8580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D81CC568-B719-4195-9EC1-41610C863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pPr>
      <w:spacing w:after="80"/>
    </w:pPr>
    <w:rPr>
      <w:rFonts w:ascii="Times New Roman" w:eastAsia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ocTitle">
    <w:name w:val="Doc Title"/>
    <w:basedOn w:val="a1"/>
    <w:rPr>
      <w:b/>
      <w:sz w:val="36"/>
    </w:rPr>
  </w:style>
  <w:style w:type="paragraph" w:customStyle="1" w:styleId="SubTitleCenter">
    <w:name w:val="SubTitle Center"/>
    <w:basedOn w:val="a1"/>
  </w:style>
  <w:style w:type="paragraph" w:customStyle="1" w:styleId="HeadingCustom1">
    <w:name w:val="Heading Custom 1"/>
    <w:basedOn w:val="a1"/>
    <w:rPr>
      <w:b/>
      <w:sz w:val="28"/>
    </w:rPr>
  </w:style>
  <w:style w:type="paragraph" w:customStyle="1" w:styleId="HeadingCustom2">
    <w:name w:val="Heading Custom 2"/>
    <w:basedOn w:val="a1"/>
    <w:rPr>
      <w:b/>
    </w:rPr>
  </w:style>
  <w:style w:type="paragraph" w:customStyle="1" w:styleId="TableText">
    <w:name w:val="Table Text"/>
    <w:basedOn w:val="a1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653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Robo cat</cp:lastModifiedBy>
  <cp:revision>2</cp:revision>
  <dcterms:created xsi:type="dcterms:W3CDTF">2026-03-26T14:56:00Z</dcterms:created>
  <dcterms:modified xsi:type="dcterms:W3CDTF">2026-03-26T14:56:00Z</dcterms:modified>
  <cp:category/>
</cp:coreProperties>
</file>