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0BB" w:rsidRPr="007F4D88" w:rsidRDefault="00000000">
      <w:pPr>
        <w:spacing w:after="40"/>
        <w:jc w:val="center"/>
        <w:rPr>
          <w:lang w:val="ru-RU"/>
        </w:rPr>
      </w:pPr>
      <w:r w:rsidRPr="007F4D88">
        <w:rPr>
          <w:b/>
          <w:lang w:val="ru-RU"/>
        </w:rPr>
        <w:t>ОБЩЕСТВО С ОГРАНИЧЕННОЙ ОТВЕТСТВЕННОСТЬЮ «РКО ГРУПП»</w:t>
      </w:r>
    </w:p>
    <w:p w:rsidR="00C370BB" w:rsidRPr="007F4D88" w:rsidRDefault="00000000">
      <w:pPr>
        <w:spacing w:after="40"/>
        <w:jc w:val="center"/>
        <w:rPr>
          <w:lang w:val="ru-RU"/>
        </w:rPr>
      </w:pPr>
      <w:r w:rsidRPr="007F4D88">
        <w:rPr>
          <w:sz w:val="22"/>
          <w:lang w:val="ru-RU"/>
        </w:rPr>
        <w:t>ИНН 5018208873 • ОГРН 1215000081548</w:t>
      </w:r>
    </w:p>
    <w:p w:rsidR="00C370BB" w:rsidRPr="007F4D88" w:rsidRDefault="00000000">
      <w:pPr>
        <w:spacing w:after="800"/>
        <w:jc w:val="center"/>
        <w:rPr>
          <w:lang w:val="ru-RU"/>
        </w:rPr>
      </w:pPr>
      <w:r w:rsidRPr="007F4D88">
        <w:rPr>
          <w:sz w:val="22"/>
          <w:lang w:val="ru-RU"/>
        </w:rPr>
        <w:t xml:space="preserve">141092, Московская область, г. Королёв, </w:t>
      </w:r>
      <w:proofErr w:type="spellStart"/>
      <w:r w:rsidRPr="007F4D88">
        <w:rPr>
          <w:sz w:val="22"/>
          <w:lang w:val="ru-RU"/>
        </w:rPr>
        <w:t>мкр</w:t>
      </w:r>
      <w:proofErr w:type="spellEnd"/>
      <w:r w:rsidRPr="007F4D88">
        <w:rPr>
          <w:sz w:val="22"/>
          <w:lang w:val="ru-RU"/>
        </w:rPr>
        <w:t xml:space="preserve"> Юбилейный, ул. Лесная, д. 14б, офис 447</w:t>
      </w:r>
    </w:p>
    <w:p w:rsidR="00C370BB" w:rsidRPr="007F4D88" w:rsidRDefault="00000000">
      <w:pPr>
        <w:pStyle w:val="DocTitle"/>
        <w:spacing w:after="240"/>
        <w:jc w:val="center"/>
        <w:rPr>
          <w:lang w:val="ru-RU"/>
        </w:rPr>
      </w:pPr>
      <w:r w:rsidRPr="007F4D88">
        <w:rPr>
          <w:lang w:val="ru-RU"/>
        </w:rPr>
        <w:t>Документация, содержащая описание процессов, обеспечивающих поддержание жизненного цикла программы</w:t>
      </w:r>
    </w:p>
    <w:p w:rsidR="00C370BB" w:rsidRDefault="00000000">
      <w:pPr>
        <w:pStyle w:val="SubTitleCenter"/>
        <w:spacing w:after="360"/>
        <w:jc w:val="center"/>
      </w:pPr>
      <w:r>
        <w:t>«</w:t>
      </w:r>
      <w:proofErr w:type="spellStart"/>
      <w:r>
        <w:t>Личный</w:t>
      </w:r>
      <w:proofErr w:type="spellEnd"/>
      <w:r>
        <w:t xml:space="preserve"> </w:t>
      </w:r>
      <w:proofErr w:type="spellStart"/>
      <w:r>
        <w:t>Кабинет</w:t>
      </w:r>
      <w:proofErr w:type="spellEnd"/>
      <w:r>
        <w:t xml:space="preserve"> </w:t>
      </w:r>
      <w:proofErr w:type="spellStart"/>
      <w:r>
        <w:t>Агента</w:t>
      </w:r>
      <w:proofErr w:type="spellEnd"/>
      <w:r>
        <w:t>. Лика 2.0»</w:t>
      </w:r>
    </w:p>
    <w:tbl>
      <w:tblPr>
        <w:tblW w:w="0" w:type="auto"/>
        <w:jc w:val="center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102"/>
      </w:tblGrid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Программа для ЭВМ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ООО «РКО ГРУПП»</w:t>
            </w:r>
          </w:p>
        </w:tc>
      </w:tr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Государственная регистрация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Свидетельство Роспатента № 2025662513 от 22.05.2025</w:t>
            </w:r>
          </w:p>
        </w:tc>
      </w:tr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Редакция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Редакция 1.0</w:t>
            </w:r>
          </w:p>
        </w:tc>
      </w:tr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Дата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26.03.2026</w:t>
            </w:r>
          </w:p>
        </w:tc>
      </w:tr>
      <w:tr w:rsidR="00C370BB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Модель распространения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C370BB" w:rsidRDefault="00000000">
            <w:r>
              <w:rPr>
                <w:sz w:val="22"/>
              </w:rPr>
              <w:t>Интернет-сервис (SaaS)</w:t>
            </w:r>
          </w:p>
        </w:tc>
      </w:tr>
    </w:tbl>
    <w:p w:rsidR="00C370BB" w:rsidRDefault="00000000">
      <w:pPr>
        <w:spacing w:before="440" w:after="0"/>
        <w:jc w:val="center"/>
      </w:pPr>
      <w:r>
        <w:t>Москва, 2026</w:t>
      </w:r>
    </w:p>
    <w:p w:rsidR="00C370BB" w:rsidRDefault="00000000">
      <w:r>
        <w:br w:type="page"/>
      </w:r>
    </w:p>
    <w:tbl>
      <w:tblPr>
        <w:tblW w:w="0" w:type="auto"/>
        <w:jc w:val="center"/>
        <w:tblBorders>
          <w:top w:val="single" w:sz="6" w:space="0" w:color="D5DFEC"/>
          <w:left w:val="single" w:sz="6" w:space="0" w:color="D5DFEC"/>
          <w:bottom w:val="single" w:sz="6" w:space="0" w:color="D5DFEC"/>
          <w:right w:val="single" w:sz="6" w:space="0" w:color="D5DFEC"/>
          <w:insideH w:val="single" w:sz="6" w:space="0" w:color="D5DFEC"/>
          <w:insideV w:val="single" w:sz="6" w:space="0" w:color="D5DFEC"/>
        </w:tblBorders>
        <w:tblLook w:val="04A0" w:firstRow="1" w:lastRow="0" w:firstColumn="1" w:lastColumn="0" w:noHBand="0" w:noVBand="1"/>
      </w:tblPr>
      <w:tblGrid>
        <w:gridCol w:w="9957"/>
      </w:tblGrid>
      <w:tr w:rsidR="00C370BB" w:rsidRPr="007F4D88">
        <w:trPr>
          <w:jc w:val="center"/>
        </w:trPr>
        <w:tc>
          <w:tcPr>
            <w:tcW w:w="9973" w:type="dxa"/>
            <w:shd w:val="clear" w:color="auto" w:fill="F2F6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0"/>
                <w:lang w:val="ru-RU"/>
              </w:rPr>
              <w:lastRenderedPageBreak/>
              <w:t>Документ подготовлен с учетом требований к раскрытию процессов разработки, сопровождения, конфигурационного управления и устранения проблем в программном обеспечении.</w:t>
            </w:r>
          </w:p>
        </w:tc>
      </w:tr>
    </w:tbl>
    <w:p w:rsidR="00C370BB" w:rsidRPr="007F4D88" w:rsidRDefault="00C370BB">
      <w:pPr>
        <w:rPr>
          <w:lang w:val="ru-RU"/>
        </w:rPr>
      </w:pP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1. Общие сведения</w:t>
      </w: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Поддержание жизненного цикла программы для ЭВМ «Личный Кабинет Агента. Лика 2.0» осуществляется ООО «РКО ГРУПП» как правообладателем и организацией, обеспечивающей разработку, сопровождение, совершенствование и техническую поддержку программы.</w:t>
      </w: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Начало разработки новой версии программы зафиксировано приказом от 21.01.2025. Завершение работ по разработке, внедрению и тестированию, а также ввод программы в эксплуатацию оформлены приказом от 24.04.2025.</w:t>
      </w: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Жизненный цикл включает процессы реализации изменений, тестирования, выпуска обновлений, управления конфигурациями, обработки инцидентов и запросов пользователей, а также актуализации пользовательской и технической документации.</w:t>
      </w: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2. Процесс разработки программы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1. </w:t>
      </w:r>
      <w:r w:rsidRPr="007F4D88">
        <w:rPr>
          <w:lang w:val="ru-RU"/>
        </w:rPr>
        <w:t>инициация разработки, постановка целей, определение состава работ и ответственных лиц;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2. </w:t>
      </w:r>
      <w:r w:rsidRPr="007F4D88">
        <w:rPr>
          <w:lang w:val="ru-RU"/>
        </w:rPr>
        <w:t>сбор и уточнение требований, подготовка проектных решений и технических постановок;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3. </w:t>
      </w:r>
      <w:r w:rsidRPr="007F4D88">
        <w:rPr>
          <w:lang w:val="ru-RU"/>
        </w:rPr>
        <w:t>проектирование структуры данных, интерфейсов, ролей и интеграционных сценариев;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4. </w:t>
      </w:r>
      <w:r w:rsidRPr="007F4D88">
        <w:rPr>
          <w:lang w:val="ru-RU"/>
        </w:rPr>
        <w:t>конструирование и программная реализация функциональных компонентов;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5. </w:t>
      </w:r>
      <w:r w:rsidRPr="007F4D88">
        <w:rPr>
          <w:lang w:val="ru-RU"/>
        </w:rPr>
        <w:t>сборка, формирование поставки и подготовка изменений к тестированию;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6. </w:t>
      </w:r>
      <w:r w:rsidRPr="007F4D88">
        <w:rPr>
          <w:lang w:val="ru-RU"/>
        </w:rPr>
        <w:t>проведение внутренних проверок и тестирования;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7. </w:t>
      </w:r>
      <w:r w:rsidRPr="007F4D88">
        <w:rPr>
          <w:lang w:val="ru-RU"/>
        </w:rPr>
        <w:t>устранение выявленных недостатков и подготовка релиза к внедрению;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8. </w:t>
      </w:r>
      <w:r w:rsidRPr="007F4D88">
        <w:rPr>
          <w:lang w:val="ru-RU"/>
        </w:rPr>
        <w:t>развертывание обновления и перевод согласованных изменений в продуктивный контур.</w:t>
      </w: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3. Процесс сопровождения программы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1. </w:t>
      </w:r>
      <w:r w:rsidRPr="007F4D88">
        <w:rPr>
          <w:lang w:val="ru-RU"/>
        </w:rPr>
        <w:t>прием обращений пользователей и фиксация замечаний, инцидентов или предложений по развитию;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2. </w:t>
      </w:r>
      <w:r w:rsidRPr="007F4D88">
        <w:rPr>
          <w:lang w:val="ru-RU"/>
        </w:rPr>
        <w:t>первичный анализ обращения, классификация по приоритету и определение ответственного исполнителя;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3. </w:t>
      </w:r>
      <w:r w:rsidRPr="007F4D88">
        <w:rPr>
          <w:lang w:val="ru-RU"/>
        </w:rPr>
        <w:t>воспроизведение проблемы и анализ причин ее возникновения;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4. </w:t>
      </w:r>
      <w:r w:rsidRPr="007F4D88">
        <w:rPr>
          <w:lang w:val="ru-RU"/>
        </w:rPr>
        <w:t>внесение исправлений либо подготовка плана доработок;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5. </w:t>
      </w:r>
      <w:r w:rsidRPr="007F4D88">
        <w:rPr>
          <w:lang w:val="ru-RU"/>
        </w:rPr>
        <w:t>проверка исправления на тестовом контуре;</w:t>
      </w:r>
    </w:p>
    <w:p w:rsidR="00C370BB" w:rsidRPr="007F4D88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6. </w:t>
      </w:r>
      <w:r w:rsidRPr="007F4D88">
        <w:rPr>
          <w:lang w:val="ru-RU"/>
        </w:rPr>
        <w:t>выпуск обновления либо предоставление пользователю разъяснения по порядку работы;</w:t>
      </w:r>
    </w:p>
    <w:p w:rsidR="00C370BB" w:rsidRDefault="00000000">
      <w:pPr>
        <w:spacing w:after="40"/>
        <w:ind w:left="227" w:hanging="227"/>
        <w:rPr>
          <w:lang w:val="ru-RU"/>
        </w:rPr>
      </w:pPr>
      <w:r w:rsidRPr="007F4D88">
        <w:rPr>
          <w:b/>
          <w:lang w:val="ru-RU"/>
        </w:rPr>
        <w:t xml:space="preserve">7. </w:t>
      </w:r>
      <w:r w:rsidRPr="007F4D88">
        <w:rPr>
          <w:lang w:val="ru-RU"/>
        </w:rPr>
        <w:t>закрытие обращения и документирование результата.</w:t>
      </w:r>
    </w:p>
    <w:p w:rsidR="007F4D88" w:rsidRDefault="007F4D88">
      <w:pPr>
        <w:spacing w:after="40"/>
        <w:ind w:left="227" w:hanging="227"/>
        <w:rPr>
          <w:lang w:val="ru-RU"/>
        </w:rPr>
      </w:pPr>
    </w:p>
    <w:p w:rsidR="007F4D88" w:rsidRDefault="007F4D88">
      <w:pPr>
        <w:spacing w:after="40"/>
        <w:ind w:left="227" w:hanging="227"/>
        <w:rPr>
          <w:lang w:val="ru-RU"/>
        </w:rPr>
      </w:pPr>
    </w:p>
    <w:p w:rsidR="007F4D88" w:rsidRPr="007F4D88" w:rsidRDefault="007F4D88">
      <w:pPr>
        <w:spacing w:after="40"/>
        <w:ind w:left="227" w:hanging="227"/>
        <w:rPr>
          <w:lang w:val="ru-RU"/>
        </w:rPr>
      </w:pPr>
    </w:p>
    <w:p w:rsidR="00C370BB" w:rsidRDefault="00000000">
      <w:pPr>
        <w:pStyle w:val="HeadingCustom1"/>
        <w:spacing w:before="160" w:after="100"/>
      </w:pPr>
      <w:r>
        <w:lastRenderedPageBreak/>
        <w:t xml:space="preserve">4.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(</w:t>
      </w:r>
      <w:proofErr w:type="spellStart"/>
      <w:r>
        <w:t>разработки</w:t>
      </w:r>
      <w:proofErr w:type="spellEnd"/>
      <w:r>
        <w:t>) ПО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50"/>
      </w:tblGrid>
      <w:tr w:rsidR="00C370BB">
        <w:trPr>
          <w:tblHeader/>
          <w:jc w:val="center"/>
        </w:trPr>
        <w:tc>
          <w:tcPr>
            <w:tcW w:w="2268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Процесс</w:t>
            </w:r>
          </w:p>
        </w:tc>
        <w:tc>
          <w:tcPr>
            <w:tcW w:w="6350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Содержание процесса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Проектирование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Формирование требований, логики работы модулей, структуры данных, ролей пользователей, интеграционных правил и иных архитектурных решений.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Конструирование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Разработка и изменение исходного текста программы, конфигурации, шаблонов интерфейса и сопутствующих компонентов.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Сборка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Подготовка поставки программы, формирование клиентских артефактов, контейнерных образов, служебных пакетов и конфигураций.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Тестирование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Проведение внутреннего, функционального, интеграционного и приемочного тестирования в объеме, необходимом для выпуска изменения.</w:t>
            </w:r>
          </w:p>
        </w:tc>
      </w:tr>
    </w:tbl>
    <w:p w:rsidR="00C370BB" w:rsidRPr="007F4D88" w:rsidRDefault="00C370BB">
      <w:pPr>
        <w:rPr>
          <w:lang w:val="ru-RU"/>
        </w:rPr>
      </w:pPr>
    </w:p>
    <w:p w:rsidR="00C370BB" w:rsidRDefault="00000000">
      <w:pPr>
        <w:pStyle w:val="HeadingCustom1"/>
        <w:spacing w:before="160" w:after="100"/>
      </w:pPr>
      <w:r>
        <w:t>5. Процессы поддержки ПО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50"/>
      </w:tblGrid>
      <w:tr w:rsidR="00C370BB">
        <w:trPr>
          <w:tblHeader/>
          <w:jc w:val="center"/>
        </w:trPr>
        <w:tc>
          <w:tcPr>
            <w:tcW w:w="2268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Процесс</w:t>
            </w:r>
          </w:p>
        </w:tc>
        <w:tc>
          <w:tcPr>
            <w:tcW w:w="6350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Содержание процесса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Менеджмент конфигурации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Ведение репозитория исходного текста, версионирование изменений, учет веток разработки, контроль релизов и составов поставки, разграничение доступа к конфигурационным единицам.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Решение проблем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Фиксация инцидентов и дефектов, анализ причин, подготовка исправлений, повторная проверка и внедрение корректирующих изменений.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Совершенствование программы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Рассмотрение предложений по развитию функционала, формирование планов изменений, реализация и выпуск новых версий.</w:t>
            </w:r>
          </w:p>
        </w:tc>
      </w:tr>
      <w:tr w:rsidR="00C370BB" w:rsidRPr="007F4D88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1"/>
              </w:rPr>
              <w:t>Актуализация документации</w:t>
            </w:r>
          </w:p>
        </w:tc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1"/>
                <w:lang w:val="ru-RU"/>
              </w:rPr>
              <w:t>Подготовка и обновление пользовательской, технической и эксплуатационной документации по мере развития программы.</w:t>
            </w:r>
          </w:p>
        </w:tc>
      </w:tr>
    </w:tbl>
    <w:p w:rsidR="00C370BB" w:rsidRPr="007F4D88" w:rsidRDefault="00C370BB">
      <w:pPr>
        <w:rPr>
          <w:lang w:val="ru-RU"/>
        </w:rPr>
      </w:pP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6. Порядок совершенствования программы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>• предложения по развитию могут поступать от пользователей, сотрудников правообладателя, подразделений сопровождения и руководителя проекта;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>• каждое предложение оценивается на предмет влияния на бизнес-процессы, архитектуру, безопасность и сроки реализации;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lastRenderedPageBreak/>
        <w:t>• по результатам анализа предложение включается в план развития либо отклоняется с указанием причины;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>• реализация одобренных изменений проходит стандартный цикл: проектирование, разработка, тестирование, внедрение, контроль результата.</w:t>
      </w: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7. Средства коммуникации со службой поддержки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 xml:space="preserve">• электронная почта </w:t>
      </w:r>
      <w:r>
        <w:t>support</w:t>
      </w:r>
      <w:r w:rsidRPr="007F4D88">
        <w:rPr>
          <w:lang w:val="ru-RU"/>
        </w:rPr>
        <w:t>@</w:t>
      </w:r>
      <w:r>
        <w:t>rko</w:t>
      </w:r>
      <w:r w:rsidRPr="007F4D88">
        <w:rPr>
          <w:lang w:val="ru-RU"/>
        </w:rPr>
        <w:t>-</w:t>
      </w:r>
      <w:r>
        <w:t>group</w:t>
      </w:r>
      <w:r w:rsidRPr="007F4D88">
        <w:rPr>
          <w:lang w:val="ru-RU"/>
        </w:rPr>
        <w:t>.</w:t>
      </w:r>
      <w:r>
        <w:t>ru</w:t>
      </w:r>
      <w:r w:rsidRPr="007F4D88">
        <w:rPr>
          <w:lang w:val="ru-RU"/>
        </w:rPr>
        <w:t>, используемая для приема обращений и уведомлений пользователей;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>• встроенные средства обратной связи и учет обращений в веб-интерфейсе программы при наличии соответствующего функционала;</w:t>
      </w:r>
    </w:p>
    <w:p w:rsidR="00C370BB" w:rsidRPr="007F4D88" w:rsidRDefault="00000000">
      <w:pPr>
        <w:spacing w:after="40"/>
        <w:ind w:left="340" w:hanging="227"/>
        <w:rPr>
          <w:lang w:val="ru-RU"/>
        </w:rPr>
      </w:pPr>
      <w:r w:rsidRPr="007F4D88">
        <w:rPr>
          <w:lang w:val="ru-RU"/>
        </w:rPr>
        <w:t>• внутренние каналы сопровождения правообладателя для координации работ по устранению инцидентов и выпуску обновлений.</w:t>
      </w: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Режим работы службы сопровождения определяется внутренним распорядком правообладателя. При возникновении критических инцидентов работы по восстановлению выполняются вне общего графика по мере обнаружения события и назначения ответственного исполнителя.</w:t>
      </w: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8. Персонал, задействованный в разработке и сопровождении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47"/>
        <w:gridCol w:w="4535"/>
      </w:tblGrid>
      <w:tr w:rsidR="00C370BB" w:rsidRPr="007F4D88">
        <w:trPr>
          <w:tblHeader/>
          <w:jc w:val="center"/>
        </w:trPr>
        <w:tc>
          <w:tcPr>
            <w:tcW w:w="2835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Роль</w:t>
            </w:r>
          </w:p>
        </w:tc>
        <w:tc>
          <w:tcPr>
            <w:tcW w:w="1247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1"/>
              </w:rPr>
              <w:t>Количество</w:t>
            </w:r>
          </w:p>
        </w:tc>
        <w:tc>
          <w:tcPr>
            <w:tcW w:w="4535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C370BB" w:rsidRPr="007F4D88" w:rsidRDefault="00000000">
            <w:pPr>
              <w:jc w:val="center"/>
              <w:rPr>
                <w:lang w:val="ru-RU"/>
              </w:rPr>
            </w:pPr>
            <w:r w:rsidRPr="007F4D88">
              <w:rPr>
                <w:b/>
                <w:sz w:val="21"/>
                <w:lang w:val="ru-RU"/>
              </w:rPr>
              <w:t>Сведения о квалификации и функциях</w:t>
            </w:r>
          </w:p>
        </w:tc>
      </w:tr>
      <w:tr w:rsidR="00C370BB" w:rsidRPr="007F4D88">
        <w:trPr>
          <w:jc w:val="center"/>
        </w:trPr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0"/>
              </w:rPr>
              <w:t>Руководитель проекта / владелец продукта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5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0"/>
                <w:lang w:val="ru-RU"/>
              </w:rPr>
              <w:t>Организует и координирует разработку, определяет приоритеты развития, принимает решения по составу релизов и контролирует выполнение работ.</w:t>
            </w:r>
          </w:p>
        </w:tc>
      </w:tr>
      <w:tr w:rsidR="00C370BB" w:rsidRPr="007F4D88">
        <w:trPr>
          <w:jc w:val="center"/>
        </w:trPr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0"/>
              </w:rPr>
              <w:t>Backend-разработчик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5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0"/>
                <w:lang w:val="ru-RU"/>
              </w:rPr>
              <w:t>Осуществляет разработку серверных компонентов, бизнес-логики, интеграций, обработки заявок и расчетных механизмов.</w:t>
            </w:r>
          </w:p>
        </w:tc>
      </w:tr>
      <w:tr w:rsidR="00C370BB" w:rsidRPr="007F4D88">
        <w:trPr>
          <w:jc w:val="center"/>
        </w:trPr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jc w:val="center"/>
              <w:rPr>
                <w:lang w:val="ru-RU"/>
              </w:rPr>
            </w:pPr>
            <w:r>
              <w:rPr>
                <w:sz w:val="20"/>
              </w:rPr>
              <w:t>Frontend</w:t>
            </w:r>
            <w:r w:rsidRPr="007F4D88">
              <w:rPr>
                <w:sz w:val="20"/>
                <w:lang w:val="ru-RU"/>
              </w:rPr>
              <w:t>-разработчик / специалист по эксплуатации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5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sz w:val="20"/>
                <w:lang w:val="ru-RU"/>
              </w:rPr>
              <w:t>Осуществляет разработку пользовательского интерфейса, участие в тестировании, сопровождении и эксплуатации программы.</w:t>
            </w:r>
          </w:p>
        </w:tc>
      </w:tr>
    </w:tbl>
    <w:p w:rsidR="00C370BB" w:rsidRPr="007F4D88" w:rsidRDefault="00C370BB">
      <w:pPr>
        <w:rPr>
          <w:lang w:val="ru-RU"/>
        </w:rPr>
      </w:pP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По мере необходимости правообладатель вправе привлекать иных специалистов и подрядчиков к выполнению отдельных работ при условии соблюдения требований к правам на результаты работ, конфиденциальности и безопасности.</w:t>
      </w:r>
    </w:p>
    <w:p w:rsidR="00C370BB" w:rsidRPr="007F4D88" w:rsidRDefault="00000000">
      <w:pPr>
        <w:pStyle w:val="HeadingCustom1"/>
        <w:spacing w:before="160" w:after="100"/>
        <w:rPr>
          <w:lang w:val="ru-RU"/>
        </w:rPr>
      </w:pPr>
      <w:r w:rsidRPr="007F4D88">
        <w:rPr>
          <w:lang w:val="ru-RU"/>
        </w:rPr>
        <w:t>9. Адреса размещения разработки, поддержки и инфраструктуры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C370BB">
        <w:trPr>
          <w:tblHeader/>
          <w:jc w:val="center"/>
        </w:trPr>
        <w:tc>
          <w:tcPr>
            <w:tcW w:w="3402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2"/>
              </w:rPr>
              <w:t>Параметр</w:t>
            </w:r>
          </w:p>
        </w:tc>
        <w:tc>
          <w:tcPr>
            <w:tcW w:w="5783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pPr>
              <w:jc w:val="center"/>
            </w:pPr>
            <w:r>
              <w:rPr>
                <w:b/>
                <w:sz w:val="22"/>
              </w:rPr>
              <w:t>Сведения</w:t>
            </w:r>
          </w:p>
        </w:tc>
      </w:tr>
      <w:tr w:rsidR="00C370BB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b/>
                <w:sz w:val="22"/>
                <w:lang w:val="ru-RU"/>
              </w:rPr>
              <w:t xml:space="preserve">Фактический адрес размещения правообладателя, </w:t>
            </w:r>
            <w:r w:rsidRPr="007F4D88">
              <w:rPr>
                <w:b/>
                <w:sz w:val="22"/>
                <w:lang w:val="ru-RU"/>
              </w:rPr>
              <w:lastRenderedPageBreak/>
              <w:t>разработчиков и службы поддержки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r w:rsidRPr="007F4D88">
              <w:rPr>
                <w:sz w:val="22"/>
                <w:lang w:val="ru-RU"/>
              </w:rPr>
              <w:lastRenderedPageBreak/>
              <w:t xml:space="preserve">141092, Московская область, г. Королёв, мкр Юбилейный, ул. </w:t>
            </w:r>
            <w:r>
              <w:rPr>
                <w:sz w:val="22"/>
              </w:rPr>
              <w:t>Лесная, д. 14б, офис 447</w:t>
            </w:r>
          </w:p>
        </w:tc>
      </w:tr>
      <w:tr w:rsidR="00C370BB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Pr="007F4D88" w:rsidRDefault="00000000">
            <w:pPr>
              <w:rPr>
                <w:lang w:val="ru-RU"/>
              </w:rPr>
            </w:pPr>
            <w:r w:rsidRPr="007F4D88">
              <w:rPr>
                <w:b/>
                <w:sz w:val="22"/>
                <w:lang w:val="ru-RU"/>
              </w:rPr>
              <w:t>Фактический адрес размещения инфраструктуры и серверных мощностей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r w:rsidRPr="007F4D88">
              <w:rPr>
                <w:sz w:val="22"/>
                <w:lang w:val="ru-RU"/>
              </w:rPr>
              <w:t xml:space="preserve">Ленинградская область, Всеволожский район, г.п. Дубровка, ул. </w:t>
            </w:r>
            <w:r>
              <w:rPr>
                <w:sz w:val="22"/>
              </w:rPr>
              <w:t>Советская, дом 1, литера А</w:t>
            </w:r>
          </w:p>
        </w:tc>
      </w:tr>
      <w:tr w:rsidR="00C370BB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r>
              <w:rPr>
                <w:b/>
                <w:sz w:val="22"/>
              </w:rPr>
              <w:t>Организация, предоставляющая мощности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370BB" w:rsidRDefault="00000000">
            <w:r>
              <w:rPr>
                <w:sz w:val="22"/>
              </w:rPr>
              <w:t>АО «Селектел»</w:t>
            </w:r>
          </w:p>
        </w:tc>
      </w:tr>
    </w:tbl>
    <w:p w:rsidR="00C370BB" w:rsidRDefault="00C370BB"/>
    <w:p w:rsidR="00C370BB" w:rsidRDefault="00000000">
      <w:pPr>
        <w:pStyle w:val="HeadingCustom1"/>
        <w:spacing w:before="160" w:after="100"/>
      </w:pPr>
      <w:r>
        <w:t>10. Вывод</w:t>
      </w:r>
    </w:p>
    <w:p w:rsidR="00C370BB" w:rsidRPr="007F4D88" w:rsidRDefault="00000000">
      <w:pPr>
        <w:ind w:firstLine="709"/>
        <w:jc w:val="both"/>
        <w:rPr>
          <w:lang w:val="ru-RU"/>
        </w:rPr>
      </w:pPr>
      <w:r w:rsidRPr="007F4D88">
        <w:rPr>
          <w:lang w:val="ru-RU"/>
        </w:rPr>
        <w:t>Правообладатель располагает организационными и техническими ресурсами, достаточными для разработки, сопровождения, исправления ошибок и совершенствования программы, а также для поддержания ее жизненного цикла на территории Российской Федерации.</w:t>
      </w:r>
    </w:p>
    <w:sectPr w:rsidR="00C370BB" w:rsidRPr="007F4D88" w:rsidSect="00034616">
      <w:headerReference w:type="default" r:id="rId8"/>
      <w:footerReference w:type="default" r:id="rId9"/>
      <w:pgSz w:w="12240" w:h="15840"/>
      <w:pgMar w:top="1134" w:right="1020" w:bottom="1020" w:left="1247" w:header="720" w:footer="720" w:gutter="0"/>
      <w:pgBorders w:offsetFrom="page">
        <w:top w:val="single" w:sz="4" w:space="18" w:color="D9D9D9"/>
        <w:left w:val="single" w:sz="4" w:space="18" w:color="D9D9D9"/>
        <w:bottom w:val="single" w:sz="4" w:space="18" w:color="D9D9D9"/>
        <w:right w:val="single" w:sz="4" w:space="18" w:color="D9D9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1FC" w:rsidRDefault="006E51FC">
      <w:pPr>
        <w:spacing w:after="0" w:line="240" w:lineRule="auto"/>
      </w:pPr>
      <w:r>
        <w:separator/>
      </w:r>
    </w:p>
  </w:endnote>
  <w:endnote w:type="continuationSeparator" w:id="0">
    <w:p w:rsidR="006E51FC" w:rsidRDefault="006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0BB" w:rsidRDefault="00000000">
    <w:pPr>
      <w:pStyle w:val="a7"/>
      <w:jc w:val="center"/>
    </w:pPr>
    <w:r>
      <w:rPr>
        <w:i/>
        <w:sz w:val="18"/>
      </w:rPr>
      <w:t>ООО «РКО ГРУПП»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1FC" w:rsidRDefault="006E51FC">
      <w:pPr>
        <w:spacing w:after="0" w:line="240" w:lineRule="auto"/>
      </w:pPr>
      <w:r>
        <w:separator/>
      </w:r>
    </w:p>
  </w:footnote>
  <w:footnote w:type="continuationSeparator" w:id="0">
    <w:p w:rsidR="006E51FC" w:rsidRDefault="006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0BB" w:rsidRPr="007F4D88" w:rsidRDefault="00000000">
    <w:pPr>
      <w:pStyle w:val="a5"/>
      <w:jc w:val="right"/>
      <w:rPr>
        <w:lang w:val="ru-RU"/>
      </w:rPr>
    </w:pPr>
    <w:r w:rsidRPr="007F4D88">
      <w:rPr>
        <w:i/>
        <w:sz w:val="18"/>
        <w:lang w:val="ru-RU"/>
      </w:rPr>
      <w:t>Личный Кабинет Агента. Лика 2.0 — Жизненный цикл программы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8336978">
    <w:abstractNumId w:val="8"/>
  </w:num>
  <w:num w:numId="2" w16cid:durableId="1621450797">
    <w:abstractNumId w:val="6"/>
  </w:num>
  <w:num w:numId="3" w16cid:durableId="384567953">
    <w:abstractNumId w:val="5"/>
  </w:num>
  <w:num w:numId="4" w16cid:durableId="94060928">
    <w:abstractNumId w:val="4"/>
  </w:num>
  <w:num w:numId="5" w16cid:durableId="1203128109">
    <w:abstractNumId w:val="7"/>
  </w:num>
  <w:num w:numId="6" w16cid:durableId="346641058">
    <w:abstractNumId w:val="3"/>
  </w:num>
  <w:num w:numId="7" w16cid:durableId="2008510819">
    <w:abstractNumId w:val="2"/>
  </w:num>
  <w:num w:numId="8" w16cid:durableId="778838074">
    <w:abstractNumId w:val="1"/>
  </w:num>
  <w:num w:numId="9" w16cid:durableId="19746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51FC"/>
    <w:rsid w:val="007F4D88"/>
    <w:rsid w:val="00AA1D8D"/>
    <w:rsid w:val="00B47730"/>
    <w:rsid w:val="00C370BB"/>
    <w:rsid w:val="00CB0664"/>
    <w:rsid w:val="00DF7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06D70"/>
  <w14:defaultImageDpi w14:val="300"/>
  <w15:docId w15:val="{1954B000-5951-442D-8471-5657D629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basedOn w:val="a1"/>
    <w:rPr>
      <w:b/>
      <w:sz w:val="36"/>
    </w:rPr>
  </w:style>
  <w:style w:type="paragraph" w:customStyle="1" w:styleId="SubTitleCenter">
    <w:name w:val="SubTitle Center"/>
    <w:basedOn w:val="a1"/>
  </w:style>
  <w:style w:type="paragraph" w:customStyle="1" w:styleId="HeadingCustom1">
    <w:name w:val="Heading Custom 1"/>
    <w:basedOn w:val="a1"/>
    <w:rPr>
      <w:b/>
      <w:sz w:val="28"/>
    </w:rPr>
  </w:style>
  <w:style w:type="paragraph" w:customStyle="1" w:styleId="HeadingCustom2">
    <w:name w:val="Heading Custom 2"/>
    <w:basedOn w:val="a1"/>
    <w:rPr>
      <w:b/>
    </w:rPr>
  </w:style>
  <w:style w:type="paragraph" w:customStyle="1" w:styleId="TableText">
    <w:name w:val="Table Text"/>
    <w:basedOn w:val="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Robo cat</cp:lastModifiedBy>
  <cp:revision>2</cp:revision>
  <dcterms:created xsi:type="dcterms:W3CDTF">2026-03-26T14:55:00Z</dcterms:created>
  <dcterms:modified xsi:type="dcterms:W3CDTF">2026-03-26T14:55:00Z</dcterms:modified>
  <cp:category/>
</cp:coreProperties>
</file>