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20FE" w:rsidRDefault="00000000">
      <w:pPr>
        <w:spacing w:after="40"/>
        <w:jc w:val="center"/>
      </w:pPr>
      <w:r>
        <w:rPr>
          <w:b/>
        </w:rPr>
        <w:t>ОБЩЕСТВО С ОГРАНИЧЕННОЙ ОТВЕТСТВЕННОСТЬЮ «РКО ГРУПП»</w:t>
      </w:r>
    </w:p>
    <w:p w:rsidR="00B920FE" w:rsidRDefault="00000000">
      <w:pPr>
        <w:spacing w:after="40"/>
        <w:jc w:val="center"/>
      </w:pPr>
      <w:r>
        <w:rPr>
          <w:sz w:val="22"/>
        </w:rPr>
        <w:t>ИНН 5018208873 • ОГРН 1215000081548</w:t>
      </w:r>
    </w:p>
    <w:p w:rsidR="00B920FE" w:rsidRDefault="00000000">
      <w:pPr>
        <w:spacing w:after="800"/>
        <w:jc w:val="center"/>
      </w:pPr>
      <w:r>
        <w:rPr>
          <w:sz w:val="22"/>
        </w:rPr>
        <w:t>141092, Московская область, г. Королёв, мкр Юбилейный, ул. Лесная, д. 14б, офис 447</w:t>
      </w:r>
    </w:p>
    <w:p w:rsidR="00B920FE" w:rsidRDefault="00000000">
      <w:pPr>
        <w:pStyle w:val="DocTitle"/>
        <w:spacing w:after="240"/>
        <w:jc w:val="center"/>
      </w:pPr>
      <w:r>
        <w:t>Описание технической архитектуры</w:t>
      </w:r>
    </w:p>
    <w:p w:rsidR="00B920FE" w:rsidRDefault="00000000">
      <w:pPr>
        <w:pStyle w:val="SubTitleCenter"/>
        <w:spacing w:after="360"/>
        <w:jc w:val="center"/>
      </w:pPr>
      <w:r>
        <w:t>программы для ЭВМ «Личный Кабинет Агента. Лика 2.0»</w:t>
      </w:r>
    </w:p>
    <w:tbl>
      <w:tblPr>
        <w:tblW w:w="0" w:type="auto"/>
        <w:jc w:val="center"/>
        <w:tblBorders>
          <w:top w:val="single" w:sz="8" w:space="0" w:color="B7C9E2"/>
          <w:left w:val="single" w:sz="8" w:space="0" w:color="B7C9E2"/>
          <w:bottom w:val="single" w:sz="8" w:space="0" w:color="B7C9E2"/>
          <w:right w:val="single" w:sz="8" w:space="0" w:color="B7C9E2"/>
          <w:insideH w:val="single" w:sz="8" w:space="0" w:color="B7C9E2"/>
          <w:insideV w:val="single" w:sz="8" w:space="0" w:color="B7C9E2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102"/>
      </w:tblGrid>
      <w:tr w:rsidR="00B920FE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B920FE" w:rsidRDefault="00000000">
            <w:r>
              <w:rPr>
                <w:b/>
                <w:sz w:val="22"/>
              </w:rPr>
              <w:t>Программа для ЭВМ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B920FE" w:rsidRDefault="00000000">
            <w:r>
              <w:rPr>
                <w:sz w:val="22"/>
              </w:rPr>
              <w:t>Личный Кабинет Агента. Лика 2.0</w:t>
            </w:r>
          </w:p>
        </w:tc>
      </w:tr>
      <w:tr w:rsidR="00B920FE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B920FE" w:rsidRDefault="00000000">
            <w:r>
              <w:rPr>
                <w:b/>
                <w:sz w:val="22"/>
              </w:rPr>
              <w:t>Правообладатель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B920FE" w:rsidRDefault="00000000">
            <w:r>
              <w:rPr>
                <w:sz w:val="22"/>
              </w:rPr>
              <w:t>ООО «РКО ГРУПП»</w:t>
            </w:r>
          </w:p>
        </w:tc>
      </w:tr>
      <w:tr w:rsidR="00B920FE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B920FE" w:rsidRDefault="00000000">
            <w:r>
              <w:rPr>
                <w:b/>
                <w:sz w:val="22"/>
              </w:rPr>
              <w:t>Государственная регистрация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B920FE" w:rsidRDefault="00000000">
            <w:r>
              <w:rPr>
                <w:sz w:val="22"/>
              </w:rPr>
              <w:t>Свидетельство Роспатента № 2025662513 от 22.05.2025</w:t>
            </w:r>
          </w:p>
        </w:tc>
      </w:tr>
      <w:tr w:rsidR="00B920FE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B920FE" w:rsidRDefault="00000000">
            <w:r>
              <w:rPr>
                <w:b/>
                <w:sz w:val="22"/>
              </w:rPr>
              <w:t>Редакция документа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B920FE" w:rsidRDefault="00000000">
            <w:r>
              <w:rPr>
                <w:sz w:val="22"/>
              </w:rPr>
              <w:t>Редакция 1.0</w:t>
            </w:r>
          </w:p>
        </w:tc>
      </w:tr>
      <w:tr w:rsidR="00B920FE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B920FE" w:rsidRDefault="00000000">
            <w:r>
              <w:rPr>
                <w:b/>
                <w:sz w:val="22"/>
              </w:rPr>
              <w:t>Дата документа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B920FE" w:rsidRDefault="00000000">
            <w:r>
              <w:rPr>
                <w:sz w:val="22"/>
              </w:rPr>
              <w:t>26.03.2026</w:t>
            </w:r>
          </w:p>
        </w:tc>
      </w:tr>
      <w:tr w:rsidR="00B920FE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B920FE" w:rsidRDefault="00000000">
            <w:r>
              <w:rPr>
                <w:b/>
                <w:sz w:val="22"/>
              </w:rPr>
              <w:t>Модель распространения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B920FE" w:rsidRDefault="00000000">
            <w:r>
              <w:rPr>
                <w:sz w:val="22"/>
              </w:rPr>
              <w:t>Интернет-сервис (SaaS)</w:t>
            </w:r>
          </w:p>
        </w:tc>
      </w:tr>
    </w:tbl>
    <w:p w:rsidR="00B920FE" w:rsidRDefault="00000000">
      <w:pPr>
        <w:spacing w:before="440" w:after="0"/>
        <w:jc w:val="center"/>
      </w:pPr>
      <w:r>
        <w:t>Москва, 2026</w:t>
      </w:r>
    </w:p>
    <w:p w:rsidR="00B920FE" w:rsidRDefault="00000000">
      <w:r>
        <w:br w:type="page"/>
      </w:r>
    </w:p>
    <w:tbl>
      <w:tblPr>
        <w:tblW w:w="0" w:type="auto"/>
        <w:jc w:val="center"/>
        <w:tblBorders>
          <w:top w:val="single" w:sz="6" w:space="0" w:color="D5DFEC"/>
          <w:left w:val="single" w:sz="6" w:space="0" w:color="D5DFEC"/>
          <w:bottom w:val="single" w:sz="6" w:space="0" w:color="D5DFEC"/>
          <w:right w:val="single" w:sz="6" w:space="0" w:color="D5DFEC"/>
          <w:insideH w:val="single" w:sz="6" w:space="0" w:color="D5DFEC"/>
          <w:insideV w:val="single" w:sz="6" w:space="0" w:color="D5DFEC"/>
        </w:tblBorders>
        <w:tblLook w:val="04A0" w:firstRow="1" w:lastRow="0" w:firstColumn="1" w:lastColumn="0" w:noHBand="0" w:noVBand="1"/>
      </w:tblPr>
      <w:tblGrid>
        <w:gridCol w:w="9957"/>
      </w:tblGrid>
      <w:tr w:rsidR="00B920FE">
        <w:trPr>
          <w:jc w:val="center"/>
        </w:trPr>
        <w:tc>
          <w:tcPr>
            <w:tcW w:w="9973" w:type="dxa"/>
            <w:shd w:val="clear" w:color="auto" w:fill="F2F6FC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:rsidR="00B920FE" w:rsidRDefault="00000000">
            <w:r>
              <w:rPr>
                <w:sz w:val="20"/>
              </w:rPr>
              <w:lastRenderedPageBreak/>
              <w:t>Документ фиксирует логическую и инфраструктурную архитектуру программы в объеме, достаточном для понимания принципов ее функционирования, размещения и сопровождения.</w:t>
            </w:r>
          </w:p>
        </w:tc>
      </w:tr>
    </w:tbl>
    <w:p w:rsidR="00B920FE" w:rsidRDefault="00B920FE"/>
    <w:p w:rsidR="00B920FE" w:rsidRDefault="00000000">
      <w:pPr>
        <w:pStyle w:val="HeadingCustom1"/>
        <w:spacing w:before="160" w:after="100"/>
      </w:pPr>
      <w:r>
        <w:t>1. Общая характеристика архитектуры</w:t>
      </w:r>
    </w:p>
    <w:p w:rsidR="00B920FE" w:rsidRDefault="00000000">
      <w:pPr>
        <w:ind w:firstLine="709"/>
        <w:jc w:val="both"/>
      </w:pPr>
      <w:r>
        <w:t>Архитектура программы построена по многоуровневому принципу и включает пользовательский веб-интерфейс, серверные компоненты обработки бизнес-логики, интеграционный слой, хранилища данных и инфраструктурные сервисы. Программа функционирует как интернет-сервис, доступный пользователям через сеть Интернет.</w:t>
      </w:r>
    </w:p>
    <w:p w:rsidR="00B920FE" w:rsidRDefault="00000000">
      <w:pPr>
        <w:ind w:firstLine="709"/>
        <w:jc w:val="both"/>
      </w:pPr>
      <w:r>
        <w:t>Архитектура ориентирована на централизованное обслуживание заявок и офферов, разграничение прав доступа, масштабирование по нагрузке и безопасное взаимодействие с внешними системами.</w:t>
      </w:r>
    </w:p>
    <w:p w:rsidR="00B920FE" w:rsidRDefault="00000000">
      <w:pPr>
        <w:pStyle w:val="HeadingCustom1"/>
        <w:spacing w:before="160" w:after="100"/>
      </w:pPr>
      <w:r>
        <w:t>2. Логические уровни системы</w:t>
      </w:r>
    </w:p>
    <w:tbl>
      <w:tblPr>
        <w:tblW w:w="0" w:type="auto"/>
        <w:jc w:val="center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268"/>
        <w:gridCol w:w="5669"/>
      </w:tblGrid>
      <w:tr w:rsidR="00B920FE">
        <w:trPr>
          <w:tblHeader/>
          <w:jc w:val="center"/>
        </w:trPr>
        <w:tc>
          <w:tcPr>
            <w:tcW w:w="680" w:type="dxa"/>
            <w:shd w:val="clear" w:color="auto" w:fill="D9E2F3"/>
            <w:tcMar>
              <w:top w:w="110" w:type="dxa"/>
              <w:left w:w="90" w:type="dxa"/>
              <w:bottom w:w="11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b/>
                <w:sz w:val="21"/>
              </w:rPr>
              <w:t>Уровень</w:t>
            </w:r>
          </w:p>
        </w:tc>
        <w:tc>
          <w:tcPr>
            <w:tcW w:w="2268" w:type="dxa"/>
            <w:shd w:val="clear" w:color="auto" w:fill="D9E2F3"/>
            <w:tcMar>
              <w:top w:w="110" w:type="dxa"/>
              <w:left w:w="90" w:type="dxa"/>
              <w:bottom w:w="11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b/>
                <w:sz w:val="21"/>
              </w:rPr>
              <w:t>Назначение</w:t>
            </w:r>
          </w:p>
        </w:tc>
        <w:tc>
          <w:tcPr>
            <w:tcW w:w="5669" w:type="dxa"/>
            <w:shd w:val="clear" w:color="auto" w:fill="D9E2F3"/>
            <w:tcMar>
              <w:top w:w="110" w:type="dxa"/>
              <w:left w:w="90" w:type="dxa"/>
              <w:bottom w:w="11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b/>
                <w:sz w:val="21"/>
              </w:rPr>
              <w:t>Основные компоненты</w:t>
            </w:r>
          </w:p>
        </w:tc>
      </w:tr>
      <w:tr w:rsidR="00B920FE">
        <w:trPr>
          <w:jc w:val="center"/>
        </w:trPr>
        <w:tc>
          <w:tcPr>
            <w:tcW w:w="6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sz w:val="21"/>
              </w:rPr>
              <w:t>1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Уровень представления</w:t>
            </w:r>
          </w:p>
        </w:tc>
        <w:tc>
          <w:tcPr>
            <w:tcW w:w="566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Веб-интерфейс личного кабинета для пользователей и административных ролей.</w:t>
            </w:r>
          </w:p>
        </w:tc>
      </w:tr>
      <w:tr w:rsidR="00B920FE">
        <w:trPr>
          <w:jc w:val="center"/>
        </w:trPr>
        <w:tc>
          <w:tcPr>
            <w:tcW w:w="6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Прикладной уровень</w:t>
            </w:r>
          </w:p>
        </w:tc>
        <w:tc>
          <w:tcPr>
            <w:tcW w:w="566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Серверные компоненты, реализующие бизнес-логику, маршрутизацию заявок, расчеты, управление пользователями и отчетность.</w:t>
            </w:r>
          </w:p>
        </w:tc>
      </w:tr>
      <w:tr w:rsidR="00B920FE">
        <w:trPr>
          <w:jc w:val="center"/>
        </w:trPr>
        <w:tc>
          <w:tcPr>
            <w:tcW w:w="6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sz w:val="21"/>
              </w:rPr>
              <w:t>3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Интеграционный уровень</w:t>
            </w:r>
          </w:p>
        </w:tc>
        <w:tc>
          <w:tcPr>
            <w:tcW w:w="566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Компоненты обмена данными с внешними системами, обработка входящих и исходящих вызовов, вебхуков и очередей сообщений.</w:t>
            </w:r>
          </w:p>
        </w:tc>
      </w:tr>
      <w:tr w:rsidR="00B920FE">
        <w:trPr>
          <w:jc w:val="center"/>
        </w:trPr>
        <w:tc>
          <w:tcPr>
            <w:tcW w:w="6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sz w:val="21"/>
              </w:rPr>
              <w:t>4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Уровень данных</w:t>
            </w:r>
          </w:p>
        </w:tc>
        <w:tc>
          <w:tcPr>
            <w:tcW w:w="566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Реляционная база данных, кэш, очереди сообщений, объектное/файловое хранение служебных и пользовательских материалов.</w:t>
            </w:r>
          </w:p>
        </w:tc>
      </w:tr>
      <w:tr w:rsidR="00B920FE">
        <w:trPr>
          <w:jc w:val="center"/>
        </w:trPr>
        <w:tc>
          <w:tcPr>
            <w:tcW w:w="6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sz w:val="21"/>
              </w:rPr>
              <w:t>5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Инфраструктурный уровень</w:t>
            </w:r>
          </w:p>
        </w:tc>
        <w:tc>
          <w:tcPr>
            <w:tcW w:w="566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Веб-сервер, контейнерная среда выполнения, системы журналирования, резервного копирования и мониторинга.</w:t>
            </w:r>
          </w:p>
        </w:tc>
      </w:tr>
    </w:tbl>
    <w:p w:rsidR="00B920FE" w:rsidRDefault="00B920FE"/>
    <w:p w:rsidR="00B920FE" w:rsidRDefault="00000000">
      <w:pPr>
        <w:pStyle w:val="HeadingCustom1"/>
        <w:spacing w:before="160" w:after="100"/>
      </w:pPr>
      <w:r>
        <w:t>3. Основные компоненты программы</w:t>
      </w:r>
    </w:p>
    <w:tbl>
      <w:tblPr>
        <w:tblW w:w="0" w:type="auto"/>
        <w:jc w:val="center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5669"/>
      </w:tblGrid>
      <w:tr w:rsidR="00B920FE">
        <w:trPr>
          <w:tblHeader/>
          <w:jc w:val="center"/>
        </w:trPr>
        <w:tc>
          <w:tcPr>
            <w:tcW w:w="2948" w:type="dxa"/>
            <w:shd w:val="clear" w:color="auto" w:fill="D9E2F3"/>
            <w:tcMar>
              <w:top w:w="110" w:type="dxa"/>
              <w:left w:w="90" w:type="dxa"/>
              <w:bottom w:w="11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b/>
                <w:sz w:val="21"/>
              </w:rPr>
              <w:t>Компонент</w:t>
            </w:r>
          </w:p>
        </w:tc>
        <w:tc>
          <w:tcPr>
            <w:tcW w:w="5669" w:type="dxa"/>
            <w:shd w:val="clear" w:color="auto" w:fill="D9E2F3"/>
            <w:tcMar>
              <w:top w:w="110" w:type="dxa"/>
              <w:left w:w="90" w:type="dxa"/>
              <w:bottom w:w="11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b/>
                <w:sz w:val="21"/>
              </w:rPr>
              <w:t>Функции</w:t>
            </w:r>
          </w:p>
        </w:tc>
      </w:tr>
      <w:tr w:rsidR="00B920FE">
        <w:trPr>
          <w:jc w:val="center"/>
        </w:trPr>
        <w:tc>
          <w:tcPr>
            <w:tcW w:w="294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sz w:val="21"/>
              </w:rPr>
              <w:t>Веб-интерфейс</w:t>
            </w:r>
          </w:p>
        </w:tc>
        <w:tc>
          <w:tcPr>
            <w:tcW w:w="566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Предоставляет пользователю доступ к личному кабинету, формам заявок, отчетам, уведомлениям и справочной информации.</w:t>
            </w:r>
          </w:p>
        </w:tc>
      </w:tr>
      <w:tr w:rsidR="00B920FE">
        <w:trPr>
          <w:jc w:val="center"/>
        </w:trPr>
        <w:tc>
          <w:tcPr>
            <w:tcW w:w="294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sz w:val="21"/>
              </w:rPr>
              <w:lastRenderedPageBreak/>
              <w:t>Сервис аутентификации и управления доступом</w:t>
            </w:r>
          </w:p>
        </w:tc>
        <w:tc>
          <w:tcPr>
            <w:tcW w:w="566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Обеспечивает идентификацию пользователей, управление ролями и разграничение прав доступа.</w:t>
            </w:r>
          </w:p>
        </w:tc>
      </w:tr>
      <w:tr w:rsidR="00B920FE">
        <w:trPr>
          <w:jc w:val="center"/>
        </w:trPr>
        <w:tc>
          <w:tcPr>
            <w:tcW w:w="294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sz w:val="21"/>
              </w:rPr>
              <w:t>Сервис заявок</w:t>
            </w:r>
          </w:p>
        </w:tc>
        <w:tc>
          <w:tcPr>
            <w:tcW w:w="566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Регистрирует заявки, хранит их атрибуты, обеспечивает изменение и отображение статусов, ведет историю событий.</w:t>
            </w:r>
          </w:p>
        </w:tc>
      </w:tr>
      <w:tr w:rsidR="00B920FE">
        <w:trPr>
          <w:jc w:val="center"/>
        </w:trPr>
        <w:tc>
          <w:tcPr>
            <w:tcW w:w="294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sz w:val="21"/>
              </w:rPr>
              <w:t>Сервис офферов</w:t>
            </w:r>
          </w:p>
        </w:tc>
        <w:tc>
          <w:tcPr>
            <w:tcW w:w="566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Обеспечивает ведение перечня продуктов, условий, правил доступности и иных параметров офферов.</w:t>
            </w:r>
          </w:p>
        </w:tc>
      </w:tr>
      <w:tr w:rsidR="00B920FE">
        <w:trPr>
          <w:jc w:val="center"/>
        </w:trPr>
        <w:tc>
          <w:tcPr>
            <w:tcW w:w="294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sz w:val="21"/>
              </w:rPr>
              <w:t>Сервис расчетов и выплат</w:t>
            </w:r>
          </w:p>
        </w:tc>
        <w:tc>
          <w:tcPr>
            <w:tcW w:w="566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Используется для учета событий, влияющих на начисления, и для подготовки сведений по выплатам.</w:t>
            </w:r>
          </w:p>
        </w:tc>
      </w:tr>
      <w:tr w:rsidR="00B920FE">
        <w:trPr>
          <w:jc w:val="center"/>
        </w:trPr>
        <w:tc>
          <w:tcPr>
            <w:tcW w:w="294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sz w:val="21"/>
              </w:rPr>
              <w:t>Интеграционный модуль</w:t>
            </w:r>
          </w:p>
        </w:tc>
        <w:tc>
          <w:tcPr>
            <w:tcW w:w="566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Реализует взаимодействие с внешними системами банков и партнеров, включая прием и отправку данных.</w:t>
            </w:r>
          </w:p>
        </w:tc>
      </w:tr>
      <w:tr w:rsidR="00B920FE">
        <w:trPr>
          <w:jc w:val="center"/>
        </w:trPr>
        <w:tc>
          <w:tcPr>
            <w:tcW w:w="294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sz w:val="21"/>
              </w:rPr>
              <w:t>Сервис уведомлений</w:t>
            </w:r>
          </w:p>
        </w:tc>
        <w:tc>
          <w:tcPr>
            <w:tcW w:w="566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Формирует и направляет пользователям уведомления о значимых событиях.</w:t>
            </w:r>
          </w:p>
        </w:tc>
      </w:tr>
      <w:tr w:rsidR="00B920FE">
        <w:trPr>
          <w:jc w:val="center"/>
        </w:trPr>
        <w:tc>
          <w:tcPr>
            <w:tcW w:w="294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sz w:val="21"/>
              </w:rPr>
              <w:t>Системы хранения</w:t>
            </w:r>
          </w:p>
        </w:tc>
        <w:tc>
          <w:tcPr>
            <w:tcW w:w="566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920FE" w:rsidRDefault="00000000">
            <w:r>
              <w:rPr>
                <w:sz w:val="21"/>
              </w:rPr>
              <w:t>Обеспечивают хранение транзакционных данных, кэша, очередей, файлов и журналов событий.</w:t>
            </w:r>
          </w:p>
        </w:tc>
      </w:tr>
    </w:tbl>
    <w:p w:rsidR="00B920FE" w:rsidRDefault="00B920FE"/>
    <w:p w:rsidR="00B920FE" w:rsidRDefault="00000000">
      <w:pPr>
        <w:pStyle w:val="HeadingCustom1"/>
        <w:spacing w:before="160" w:after="100"/>
      </w:pPr>
      <w:r>
        <w:t>4. Схема взаимодействия компонентов</w:t>
      </w:r>
    </w:p>
    <w:p w:rsidR="00B920FE" w:rsidRDefault="00000000">
      <w:pPr>
        <w:spacing w:after="40"/>
        <w:ind w:left="340" w:hanging="227"/>
      </w:pPr>
      <w:r>
        <w:t>• пользователь обращается к программе через веб-интерфейс по защищенному сетевому соединению;</w:t>
      </w:r>
    </w:p>
    <w:p w:rsidR="00B920FE" w:rsidRDefault="00000000">
      <w:pPr>
        <w:spacing w:after="40"/>
        <w:ind w:left="340" w:hanging="227"/>
      </w:pPr>
      <w:r>
        <w:t>• веб-интерфейс передает запросы на серверные компоненты прикладного уровня;</w:t>
      </w:r>
    </w:p>
    <w:p w:rsidR="00B920FE" w:rsidRDefault="00000000">
      <w:pPr>
        <w:spacing w:after="40"/>
        <w:ind w:left="340" w:hanging="227"/>
      </w:pPr>
      <w:r>
        <w:t>• прикладной уровень обращается к хранилищам данных для записи и чтения транзакционной информации;</w:t>
      </w:r>
    </w:p>
    <w:p w:rsidR="00B920FE" w:rsidRDefault="00000000">
      <w:pPr>
        <w:spacing w:after="40"/>
        <w:ind w:left="340" w:hanging="227"/>
      </w:pPr>
      <w:r>
        <w:t>• при необходимости прикладной уровень инициирует обмен данными с внешними системами через интеграционный модуль;</w:t>
      </w:r>
    </w:p>
    <w:p w:rsidR="00B920FE" w:rsidRDefault="00000000">
      <w:pPr>
        <w:spacing w:after="40"/>
        <w:ind w:left="340" w:hanging="227"/>
      </w:pPr>
      <w:r>
        <w:t>• асинхронные задачи и отложенные операции обрабатываются через очереди сообщений и фоновые процессы;</w:t>
      </w:r>
    </w:p>
    <w:p w:rsidR="00B920FE" w:rsidRDefault="00000000">
      <w:pPr>
        <w:spacing w:after="40"/>
        <w:ind w:left="340" w:hanging="227"/>
      </w:pPr>
      <w:r>
        <w:t>• результаты обработки отражаются в интерфейсе пользователя, журналах и отчетных представлениях.</w:t>
      </w:r>
    </w:p>
    <w:p w:rsidR="00B920FE" w:rsidRDefault="00000000">
      <w:pPr>
        <w:pStyle w:val="HeadingCustom1"/>
        <w:spacing w:before="160" w:after="100"/>
      </w:pPr>
      <w:r>
        <w:t>5. Техническая среда исполнения</w:t>
      </w:r>
    </w:p>
    <w:tbl>
      <w:tblPr>
        <w:tblW w:w="0" w:type="auto"/>
        <w:jc w:val="center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783"/>
      </w:tblGrid>
      <w:tr w:rsidR="00B920FE">
        <w:trPr>
          <w:tblHeader/>
          <w:jc w:val="center"/>
        </w:trPr>
        <w:tc>
          <w:tcPr>
            <w:tcW w:w="3402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b/>
                <w:sz w:val="22"/>
              </w:rPr>
              <w:t>Параметр</w:t>
            </w:r>
          </w:p>
        </w:tc>
        <w:tc>
          <w:tcPr>
            <w:tcW w:w="5783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B920FE" w:rsidRDefault="00000000">
            <w:pPr>
              <w:jc w:val="center"/>
            </w:pPr>
            <w:r>
              <w:rPr>
                <w:b/>
                <w:sz w:val="22"/>
              </w:rPr>
              <w:t>Описание</w:t>
            </w:r>
          </w:p>
        </w:tc>
      </w:tr>
      <w:tr w:rsidR="00B920FE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B920FE" w:rsidRDefault="00000000">
            <w:r>
              <w:rPr>
                <w:b/>
                <w:sz w:val="22"/>
              </w:rPr>
              <w:t>Операционная среда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B920FE" w:rsidRDefault="00000000">
            <w:r>
              <w:rPr>
                <w:sz w:val="22"/>
              </w:rPr>
              <w:t>Серверная Linux-среда, контейнеризированное размещение прикладных компонентов.</w:t>
            </w:r>
          </w:p>
        </w:tc>
      </w:tr>
      <w:tr w:rsidR="00B920FE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B920FE" w:rsidRDefault="00000000">
            <w:r>
              <w:rPr>
                <w:b/>
                <w:sz w:val="22"/>
              </w:rPr>
              <w:lastRenderedPageBreak/>
              <w:t>Веб-доступ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B920FE" w:rsidRDefault="00000000">
            <w:r>
              <w:rPr>
                <w:sz w:val="22"/>
              </w:rPr>
              <w:t>Доступ пользователей через веб-интерфейс по протоколу HTTPS.</w:t>
            </w:r>
          </w:p>
        </w:tc>
      </w:tr>
      <w:tr w:rsidR="00B920FE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B920FE" w:rsidRDefault="00000000">
            <w:r>
              <w:rPr>
                <w:b/>
                <w:sz w:val="22"/>
              </w:rPr>
              <w:t>Сетевое взаимодействие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B920FE" w:rsidRDefault="00000000">
            <w:r>
              <w:rPr>
                <w:sz w:val="22"/>
              </w:rPr>
              <w:t>Передача данных между компонентами и внешними системами по внутренним и внешним API, вебхукам и иным согласованным интерфейсам.</w:t>
            </w:r>
          </w:p>
        </w:tc>
      </w:tr>
      <w:tr w:rsidR="00B920FE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B920FE" w:rsidRDefault="00000000">
            <w:r>
              <w:rPr>
                <w:b/>
                <w:sz w:val="22"/>
              </w:rPr>
              <w:t>Хранилища данных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B920FE" w:rsidRDefault="00000000">
            <w:r>
              <w:rPr>
                <w:sz w:val="22"/>
              </w:rPr>
              <w:t>Реляционная база данных для транзакционных данных; отдельные сервисы для кэширования, очередей и хранения файлов/артефактов.</w:t>
            </w:r>
          </w:p>
        </w:tc>
      </w:tr>
      <w:tr w:rsidR="00B920FE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B920FE" w:rsidRDefault="00000000">
            <w:r>
              <w:rPr>
                <w:b/>
                <w:sz w:val="22"/>
              </w:rPr>
              <w:t>Логи и мониторинг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B920FE" w:rsidRDefault="00000000">
            <w:r>
              <w:rPr>
                <w:sz w:val="22"/>
              </w:rPr>
              <w:t>Журналирование событий приложения и инфраструктуры, мониторинг доступности и ключевых эксплуатационных параметров.</w:t>
            </w:r>
          </w:p>
        </w:tc>
      </w:tr>
    </w:tbl>
    <w:p w:rsidR="00B920FE" w:rsidRDefault="00B920FE"/>
    <w:p w:rsidR="00B920FE" w:rsidRDefault="00000000">
      <w:pPr>
        <w:pStyle w:val="HeadingCustom1"/>
        <w:spacing w:before="160" w:after="100"/>
      </w:pPr>
      <w:r>
        <w:t>6. Размещение и инфраструктура</w:t>
      </w:r>
    </w:p>
    <w:p w:rsidR="00B920FE" w:rsidRDefault="00000000">
      <w:pPr>
        <w:ind w:firstLine="709"/>
        <w:jc w:val="both"/>
      </w:pPr>
      <w:r>
        <w:t>Размещение вычислительных мощностей, используемых для работы программы, осуществляется на территории Российской Федерации. По подтверждению хостинг-провайдера АО «Селектел» услуги предоставляются ООО «РКО ГРУПП» в соответствии с Пользовательское соглашение № 410104 от 18.02.2025, при этом мощности размещены по адресу: Ленинградская область, Всеволожский район, г.п. Дубровка, ул. Советская, дом 1, литера А.</w:t>
      </w:r>
    </w:p>
    <w:p w:rsidR="00B920FE" w:rsidRDefault="00000000">
      <w:pPr>
        <w:ind w:firstLine="709"/>
        <w:jc w:val="both"/>
      </w:pPr>
      <w:r>
        <w:t>Архитектура допускает использование отдельных контуров для разработки, тестирования и промышленной эксплуатации. Продуктивный контур отделяется от вспомогательных сред организационными и техническими мерами доступа.</w:t>
      </w:r>
    </w:p>
    <w:p w:rsidR="00B920FE" w:rsidRDefault="00000000">
      <w:pPr>
        <w:pStyle w:val="HeadingCustom1"/>
        <w:spacing w:before="160" w:after="100"/>
      </w:pPr>
      <w:r>
        <w:t>7. Безопасность архитектуры</w:t>
      </w:r>
    </w:p>
    <w:p w:rsidR="00B920FE" w:rsidRDefault="00000000">
      <w:pPr>
        <w:spacing w:after="40"/>
        <w:ind w:left="340" w:hanging="227"/>
      </w:pPr>
      <w:r>
        <w:t>• использование защищенного сетевого взаимодействия между пользователем и программой;</w:t>
      </w:r>
    </w:p>
    <w:p w:rsidR="00B920FE" w:rsidRDefault="00000000">
      <w:pPr>
        <w:spacing w:after="40"/>
        <w:ind w:left="340" w:hanging="227"/>
      </w:pPr>
      <w:r>
        <w:t>• разграничение доступа к функционалу на основе ролей и полномочий;</w:t>
      </w:r>
    </w:p>
    <w:p w:rsidR="00B920FE" w:rsidRDefault="00000000">
      <w:pPr>
        <w:spacing w:after="40"/>
        <w:ind w:left="340" w:hanging="227"/>
      </w:pPr>
      <w:r>
        <w:t>• журналирование действий пользователей и системных событий;</w:t>
      </w:r>
    </w:p>
    <w:p w:rsidR="00B920FE" w:rsidRDefault="00000000">
      <w:pPr>
        <w:spacing w:after="40"/>
        <w:ind w:left="340" w:hanging="227"/>
      </w:pPr>
      <w:r>
        <w:t>• резервное копирование данных и артефактов программы;</w:t>
      </w:r>
    </w:p>
    <w:p w:rsidR="00B920FE" w:rsidRDefault="00000000">
      <w:pPr>
        <w:spacing w:after="40"/>
        <w:ind w:left="340" w:hanging="227"/>
      </w:pPr>
      <w:r>
        <w:t>• контроль административного доступа к инфраструктуре и средствам разработки.</w:t>
      </w:r>
    </w:p>
    <w:p w:rsidR="00B920FE" w:rsidRDefault="00000000">
      <w:pPr>
        <w:pStyle w:val="HeadingCustom1"/>
        <w:spacing w:before="160" w:after="100"/>
      </w:pPr>
      <w:r>
        <w:t>8. Масштабирование и отказоустойчивость</w:t>
      </w:r>
    </w:p>
    <w:p w:rsidR="00B920FE" w:rsidRDefault="00000000">
      <w:pPr>
        <w:spacing w:after="40"/>
        <w:ind w:left="340" w:hanging="227"/>
      </w:pPr>
      <w:r>
        <w:t>• архитектура предусматривает расширение вычислительных ресурсов при росте количества пользователей и операций;</w:t>
      </w:r>
    </w:p>
    <w:p w:rsidR="00B920FE" w:rsidRDefault="00000000">
      <w:pPr>
        <w:spacing w:after="40"/>
        <w:ind w:left="340" w:hanging="227"/>
      </w:pPr>
      <w:r>
        <w:t>• данные программы хранятся централизованно с применением регламентированных процедур резервного копирования;</w:t>
      </w:r>
    </w:p>
    <w:p w:rsidR="00B920FE" w:rsidRDefault="00000000">
      <w:pPr>
        <w:spacing w:after="40"/>
        <w:ind w:left="340" w:hanging="227"/>
      </w:pPr>
      <w:r>
        <w:t>• восстановление после отказов осуществляется в рамках процессов сопровождения и регламентов правообладателя.</w:t>
      </w:r>
    </w:p>
    <w:p w:rsidR="00B920FE" w:rsidRDefault="00000000">
      <w:pPr>
        <w:pStyle w:val="HeadingCustom1"/>
        <w:spacing w:before="160" w:after="100"/>
      </w:pPr>
      <w:r>
        <w:lastRenderedPageBreak/>
        <w:t>9. Вывод</w:t>
      </w:r>
    </w:p>
    <w:p w:rsidR="00B920FE" w:rsidRDefault="00000000">
      <w:pPr>
        <w:ind w:firstLine="709"/>
        <w:jc w:val="both"/>
      </w:pPr>
      <w:r>
        <w:t>Техническая архитектура программы обеспечивает функционирование Личного Кабинета Агента как веб-ориентированного прикладного решения, пригодного для промышленной эксплуатации, сопровождения, выпуска обновлений и масштабирования.</w:t>
      </w:r>
    </w:p>
    <w:sectPr w:rsidR="00B920FE" w:rsidSect="00034616">
      <w:headerReference w:type="default" r:id="rId8"/>
      <w:footerReference w:type="default" r:id="rId9"/>
      <w:pgSz w:w="12240" w:h="15840"/>
      <w:pgMar w:top="1134" w:right="1020" w:bottom="1020" w:left="1247" w:header="720" w:footer="720" w:gutter="0"/>
      <w:pgBorders w:offsetFrom="page">
        <w:top w:val="single" w:sz="4" w:space="18" w:color="D9D9D9"/>
        <w:left w:val="single" w:sz="4" w:space="18" w:color="D9D9D9"/>
        <w:bottom w:val="single" w:sz="4" w:space="18" w:color="D9D9D9"/>
        <w:right w:val="single" w:sz="4" w:space="18" w:color="D9D9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BD5" w:rsidRDefault="00B94BD5">
      <w:pPr>
        <w:spacing w:after="0" w:line="240" w:lineRule="auto"/>
      </w:pPr>
      <w:r>
        <w:separator/>
      </w:r>
    </w:p>
  </w:endnote>
  <w:endnote w:type="continuationSeparator" w:id="0">
    <w:p w:rsidR="00B94BD5" w:rsidRDefault="00B9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0FE" w:rsidRDefault="00000000">
    <w:pPr>
      <w:pStyle w:val="a7"/>
      <w:jc w:val="center"/>
    </w:pPr>
    <w:r>
      <w:rPr>
        <w:i/>
        <w:sz w:val="18"/>
      </w:rPr>
      <w:t>ООО «РКО ГРУПП»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BD5" w:rsidRDefault="00B94BD5">
      <w:pPr>
        <w:spacing w:after="0" w:line="240" w:lineRule="auto"/>
      </w:pPr>
      <w:r>
        <w:separator/>
      </w:r>
    </w:p>
  </w:footnote>
  <w:footnote w:type="continuationSeparator" w:id="0">
    <w:p w:rsidR="00B94BD5" w:rsidRDefault="00B94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0FE" w:rsidRPr="00C22EAC" w:rsidRDefault="00000000">
    <w:pPr>
      <w:pStyle w:val="a5"/>
      <w:jc w:val="right"/>
      <w:rPr>
        <w:lang w:val="ru-RU"/>
      </w:rPr>
    </w:pPr>
    <w:r w:rsidRPr="00C22EAC">
      <w:rPr>
        <w:i/>
        <w:sz w:val="18"/>
        <w:lang w:val="ru-RU"/>
      </w:rPr>
      <w:t>Личный Кабинет Агента. Лика 2.0 — Описание технической архитектуры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0319799">
    <w:abstractNumId w:val="8"/>
  </w:num>
  <w:num w:numId="2" w16cid:durableId="1911771639">
    <w:abstractNumId w:val="6"/>
  </w:num>
  <w:num w:numId="3" w16cid:durableId="612708684">
    <w:abstractNumId w:val="5"/>
  </w:num>
  <w:num w:numId="4" w16cid:durableId="1545436517">
    <w:abstractNumId w:val="4"/>
  </w:num>
  <w:num w:numId="5" w16cid:durableId="2122607442">
    <w:abstractNumId w:val="7"/>
  </w:num>
  <w:num w:numId="6" w16cid:durableId="808324019">
    <w:abstractNumId w:val="3"/>
  </w:num>
  <w:num w:numId="7" w16cid:durableId="563293668">
    <w:abstractNumId w:val="2"/>
  </w:num>
  <w:num w:numId="8" w16cid:durableId="1219560163">
    <w:abstractNumId w:val="1"/>
  </w:num>
  <w:num w:numId="9" w16cid:durableId="196203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5FCC"/>
    <w:rsid w:val="00B47730"/>
    <w:rsid w:val="00B920FE"/>
    <w:rsid w:val="00B94BD5"/>
    <w:rsid w:val="00C22EA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0F7F76C-7608-43C9-B057-086B0DE1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 Title"/>
    <w:basedOn w:val="a1"/>
    <w:rPr>
      <w:b/>
      <w:sz w:val="36"/>
    </w:rPr>
  </w:style>
  <w:style w:type="paragraph" w:customStyle="1" w:styleId="SubTitleCenter">
    <w:name w:val="SubTitle Center"/>
    <w:basedOn w:val="a1"/>
  </w:style>
  <w:style w:type="paragraph" w:customStyle="1" w:styleId="HeadingCustom1">
    <w:name w:val="Heading Custom 1"/>
    <w:basedOn w:val="a1"/>
    <w:rPr>
      <w:b/>
      <w:sz w:val="28"/>
    </w:rPr>
  </w:style>
  <w:style w:type="paragraph" w:customStyle="1" w:styleId="HeadingCustom2">
    <w:name w:val="Heading Custom 2"/>
    <w:basedOn w:val="a1"/>
    <w:rPr>
      <w:b/>
    </w:rPr>
  </w:style>
  <w:style w:type="paragraph" w:customStyle="1" w:styleId="TableText">
    <w:name w:val="Table Text"/>
    <w:basedOn w:val="a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Robo cat</cp:lastModifiedBy>
  <cp:revision>2</cp:revision>
  <dcterms:created xsi:type="dcterms:W3CDTF">2026-03-26T14:54:00Z</dcterms:created>
  <dcterms:modified xsi:type="dcterms:W3CDTF">2026-03-26T14:54:00Z</dcterms:modified>
  <cp:category/>
</cp:coreProperties>
</file>