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1A2" w:rsidRDefault="00000000">
      <w:pPr>
        <w:spacing w:after="40"/>
        <w:jc w:val="center"/>
      </w:pPr>
      <w:r>
        <w:rPr>
          <w:b/>
        </w:rPr>
        <w:t>ОБЩЕСТВО С ОГРАНИЧЕННОЙ ОТВЕТСТВЕННОСТЬЮ «РКО ГРУПП»</w:t>
      </w:r>
    </w:p>
    <w:p w:rsidR="006D71A2" w:rsidRDefault="00000000">
      <w:pPr>
        <w:spacing w:after="40"/>
        <w:jc w:val="center"/>
      </w:pPr>
      <w:r>
        <w:rPr>
          <w:sz w:val="22"/>
        </w:rPr>
        <w:t>ИНН 5018208873 • ОГРН 1215000081548</w:t>
      </w:r>
    </w:p>
    <w:p w:rsidR="006D71A2" w:rsidRDefault="00000000">
      <w:pPr>
        <w:spacing w:after="800"/>
        <w:jc w:val="center"/>
      </w:pPr>
      <w:r>
        <w:rPr>
          <w:sz w:val="22"/>
        </w:rPr>
        <w:t>141092, Московская область, г. Королёв, мкр Юбилейный, ул. Лесная, д. 14б, офис 447</w:t>
      </w:r>
    </w:p>
    <w:p w:rsidR="006D71A2" w:rsidRDefault="00000000">
      <w:pPr>
        <w:pStyle w:val="DocTitle"/>
        <w:spacing w:after="240"/>
        <w:jc w:val="center"/>
      </w:pPr>
      <w:r>
        <w:t>Описание функциональных характеристик</w:t>
      </w:r>
    </w:p>
    <w:p w:rsidR="006D71A2" w:rsidRDefault="00000000">
      <w:pPr>
        <w:pStyle w:val="SubTitleCenter"/>
        <w:spacing w:after="360"/>
        <w:jc w:val="center"/>
      </w:pPr>
      <w:r>
        <w:t>программы для ЭВМ «Личный Кабинет Агента. Лика 2.0»</w:t>
      </w:r>
    </w:p>
    <w:tbl>
      <w:tblPr>
        <w:tblW w:w="0" w:type="auto"/>
        <w:jc w:val="center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102"/>
      </w:tblGrid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Программа для ЭВМ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ООО «РКО ГРУПП»</w:t>
            </w:r>
          </w:p>
        </w:tc>
      </w:tr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Государственная регистрация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Свидетельство Роспатента № 2025662513 от 22.05.2025</w:t>
            </w:r>
          </w:p>
        </w:tc>
      </w:tr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Редакция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Редакция 1.0</w:t>
            </w:r>
          </w:p>
        </w:tc>
      </w:tr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Дата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26.03.2026</w:t>
            </w:r>
          </w:p>
        </w:tc>
      </w:tr>
      <w:tr w:rsidR="006D71A2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Модель распространения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D71A2" w:rsidRDefault="00000000">
            <w:r>
              <w:rPr>
                <w:sz w:val="22"/>
              </w:rPr>
              <w:t>Интернет-сервис (SaaS)</w:t>
            </w:r>
          </w:p>
        </w:tc>
      </w:tr>
    </w:tbl>
    <w:p w:rsidR="006D71A2" w:rsidRDefault="00000000">
      <w:pPr>
        <w:spacing w:before="440" w:after="0"/>
        <w:jc w:val="center"/>
      </w:pPr>
      <w:r>
        <w:t>Москва, 2026</w:t>
      </w:r>
    </w:p>
    <w:p w:rsidR="006D71A2" w:rsidRDefault="00000000">
      <w:r>
        <w:br w:type="page"/>
      </w:r>
    </w:p>
    <w:tbl>
      <w:tblPr>
        <w:tblW w:w="0" w:type="auto"/>
        <w:jc w:val="center"/>
        <w:tblBorders>
          <w:top w:val="single" w:sz="6" w:space="0" w:color="D5DFEC"/>
          <w:left w:val="single" w:sz="6" w:space="0" w:color="D5DFEC"/>
          <w:bottom w:val="single" w:sz="6" w:space="0" w:color="D5DFEC"/>
          <w:right w:val="single" w:sz="6" w:space="0" w:color="D5DFEC"/>
          <w:insideH w:val="single" w:sz="6" w:space="0" w:color="D5DFEC"/>
          <w:insideV w:val="single" w:sz="6" w:space="0" w:color="D5DFEC"/>
        </w:tblBorders>
        <w:tblLook w:val="04A0" w:firstRow="1" w:lastRow="0" w:firstColumn="1" w:lastColumn="0" w:noHBand="0" w:noVBand="1"/>
      </w:tblPr>
      <w:tblGrid>
        <w:gridCol w:w="9957"/>
      </w:tblGrid>
      <w:tr w:rsidR="006D71A2">
        <w:trPr>
          <w:jc w:val="center"/>
        </w:trPr>
        <w:tc>
          <w:tcPr>
            <w:tcW w:w="9973" w:type="dxa"/>
            <w:shd w:val="clear" w:color="auto" w:fill="F2F6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:rsidR="006D71A2" w:rsidRDefault="00000000">
            <w:r>
              <w:rPr>
                <w:sz w:val="20"/>
              </w:rPr>
              <w:lastRenderedPageBreak/>
              <w:t>Документ подготовлен на основе ранее сформированных материалов по ЛиКА 2.0, приказов о разработке и вводе в эксплуатацию, сведений о государственной регистрации программы для ЭВМ, а также подтверждений размещения инфраструктуры на территории Российской Федерации.</w:t>
            </w:r>
          </w:p>
        </w:tc>
      </w:tr>
    </w:tbl>
    <w:p w:rsidR="006D71A2" w:rsidRDefault="006D71A2"/>
    <w:p w:rsidR="006D71A2" w:rsidRDefault="00000000">
      <w:pPr>
        <w:pStyle w:val="HeadingCustom1"/>
        <w:spacing w:before="160" w:after="100"/>
      </w:pPr>
      <w:r>
        <w:t>1. Общие сведения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83"/>
      </w:tblGrid>
      <w:tr w:rsidR="006D71A2">
        <w:trPr>
          <w:tblHeader/>
          <w:jc w:val="center"/>
        </w:trPr>
        <w:tc>
          <w:tcPr>
            <w:tcW w:w="3402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pPr>
              <w:jc w:val="center"/>
            </w:pPr>
            <w:r>
              <w:rPr>
                <w:b/>
                <w:sz w:val="22"/>
              </w:rPr>
              <w:t>Реквизит</w:t>
            </w:r>
          </w:p>
        </w:tc>
        <w:tc>
          <w:tcPr>
            <w:tcW w:w="5783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pPr>
              <w:jc w:val="center"/>
            </w:pPr>
            <w:r>
              <w:rPr>
                <w:b/>
                <w:sz w:val="22"/>
              </w:rPr>
              <w:t>Сведения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Полное наименование программы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ООО «РКО ГРУПП», 141092, Московская область, г. Королёв, мкр Юбилейный, ул. Лесная, д. 14б, офис 447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Основание возникновения прав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Служебная разработка в рамках приказа о начале разработки от 21.01.2025; государственная регистрация программы для ЭВМ по свидетельству Роспатента № 2025662513 от 22.05.2025.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Форма распространения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Интернет-сервис (SaaS). Специальные действия по установке на стороне конечного пользователя не требуются.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Дата ввода в эксплуатацию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24.04.2025</w:t>
            </w:r>
          </w:p>
        </w:tc>
      </w:tr>
      <w:tr w:rsidR="006D71A2">
        <w:trPr>
          <w:jc w:val="center"/>
        </w:trPr>
        <w:tc>
          <w:tcPr>
            <w:tcW w:w="340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b/>
                <w:sz w:val="22"/>
              </w:rPr>
              <w:t>Класс ПО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D71A2" w:rsidRDefault="00000000">
            <w:r>
              <w:rPr>
                <w:sz w:val="22"/>
              </w:rPr>
              <w:t>Прикладное программное обеспечение; CRM-система для работы с заявками, партнерами, офферами и расчетами.</w:t>
            </w:r>
          </w:p>
        </w:tc>
      </w:tr>
    </w:tbl>
    <w:p w:rsidR="006D71A2" w:rsidRDefault="006D71A2"/>
    <w:p w:rsidR="006D71A2" w:rsidRDefault="00000000">
      <w:pPr>
        <w:pStyle w:val="HeadingCustom1"/>
        <w:spacing w:before="160" w:after="100"/>
      </w:pPr>
      <w:r>
        <w:t>2. Назначение программы</w:t>
      </w:r>
    </w:p>
    <w:p w:rsidR="006D71A2" w:rsidRDefault="00000000">
      <w:pPr>
        <w:ind w:firstLine="709"/>
        <w:jc w:val="both"/>
      </w:pPr>
      <w:r>
        <w:t>Программа для ЭВМ «Личный Кабинет Агента. Лика 2.0» предназначена для автоматизации процессов взаимодействия правообладателя с агентами, веб-мастерами, партнерами и иными пользователями, участвующими в привлечении клиентов на банковские и смежные финансовые продукты.</w:t>
      </w:r>
    </w:p>
    <w:p w:rsidR="006D71A2" w:rsidRDefault="00000000">
      <w:pPr>
        <w:ind w:firstLine="709"/>
        <w:jc w:val="both"/>
      </w:pPr>
      <w:r>
        <w:t>Программа обеспечивает работу в формате единого личного кабинета, в рамках которого пользователи получают доступ к перечню офферов, создают и сопровождают заявки, отслеживают статусы и результаты обработки, анализируют показатели эффективности и получают сведения о начислениях и выплатах.</w:t>
      </w:r>
    </w:p>
    <w:p w:rsidR="006D71A2" w:rsidRDefault="00000000">
      <w:pPr>
        <w:pStyle w:val="HeadingCustom1"/>
        <w:spacing w:before="160" w:after="100"/>
      </w:pPr>
      <w:r>
        <w:t>3. Категории пользователей</w:t>
      </w:r>
    </w:p>
    <w:p w:rsidR="006D71A2" w:rsidRDefault="00000000">
      <w:pPr>
        <w:spacing w:after="40"/>
        <w:ind w:left="340" w:hanging="227"/>
      </w:pPr>
      <w:r>
        <w:t>• агенты и веб-мастера, направляющие трафик и заявки на продукты, размещенные в системе;</w:t>
      </w:r>
    </w:p>
    <w:p w:rsidR="006D71A2" w:rsidRDefault="00000000">
      <w:pPr>
        <w:spacing w:after="40"/>
        <w:ind w:left="340" w:hanging="227"/>
      </w:pPr>
      <w:r>
        <w:t>• сотрудники правообладателя, выполняющие модерацию, сопровождение, расчеты, поддержку и администрирование;</w:t>
      </w:r>
    </w:p>
    <w:p w:rsidR="006D71A2" w:rsidRDefault="00000000">
      <w:pPr>
        <w:spacing w:after="40"/>
        <w:ind w:left="340" w:hanging="227"/>
      </w:pPr>
      <w:r>
        <w:lastRenderedPageBreak/>
        <w:t>• менеджеры и администраторы, отвечающие за управление офферами, пользователями, статусами заявок и формирование отчетности;</w:t>
      </w:r>
    </w:p>
    <w:p w:rsidR="006D71A2" w:rsidRDefault="00000000">
      <w:pPr>
        <w:spacing w:after="40"/>
        <w:ind w:left="340" w:hanging="227"/>
      </w:pPr>
      <w:r>
        <w:t>• уполномоченные специалисты, обеспечивающие интеграционное взаимодействие с внешними системами.</w:t>
      </w:r>
    </w:p>
    <w:p w:rsidR="006D71A2" w:rsidRDefault="00000000">
      <w:pPr>
        <w:pStyle w:val="HeadingCustom1"/>
        <w:spacing w:before="160" w:after="100"/>
      </w:pPr>
      <w:r>
        <w:t>4. Основные функциональные возможности</w:t>
      </w:r>
    </w:p>
    <w:p w:rsidR="006D71A2" w:rsidRDefault="00000000">
      <w:pPr>
        <w:pStyle w:val="HeadingCustom2"/>
        <w:spacing w:before="80" w:after="100"/>
      </w:pPr>
      <w:r>
        <w:t>4.1. Доступ и идентификация пользователей</w:t>
      </w:r>
    </w:p>
    <w:p w:rsidR="006D71A2" w:rsidRDefault="00000000">
      <w:pPr>
        <w:spacing w:after="40"/>
        <w:ind w:left="340" w:hanging="227"/>
      </w:pPr>
      <w:r>
        <w:t>• создание учетных записей и предоставление доступа в соответствии с внутренними ролями и полномочиями;</w:t>
      </w:r>
    </w:p>
    <w:p w:rsidR="006D71A2" w:rsidRDefault="00000000">
      <w:pPr>
        <w:spacing w:after="40"/>
        <w:ind w:left="340" w:hanging="227"/>
      </w:pPr>
      <w:r>
        <w:t>• аутентификация пользователей через веб-интерфейс;</w:t>
      </w:r>
    </w:p>
    <w:p w:rsidR="006D71A2" w:rsidRDefault="00000000">
      <w:pPr>
        <w:spacing w:after="40"/>
        <w:ind w:left="340" w:hanging="227"/>
      </w:pPr>
      <w:r>
        <w:t>• разграничение прав доступа к разделам и операциям системы;</w:t>
      </w:r>
    </w:p>
    <w:p w:rsidR="006D71A2" w:rsidRDefault="00000000">
      <w:pPr>
        <w:spacing w:after="40"/>
        <w:ind w:left="340" w:hanging="227"/>
      </w:pPr>
      <w:r>
        <w:t>• ведение журнала авторизации и базовых событий безопасности.</w:t>
      </w:r>
    </w:p>
    <w:p w:rsidR="006D71A2" w:rsidRDefault="00000000">
      <w:pPr>
        <w:pStyle w:val="HeadingCustom2"/>
        <w:spacing w:before="80" w:after="100"/>
      </w:pPr>
      <w:r>
        <w:t>4.2. Работа с каталогом офферов</w:t>
      </w:r>
    </w:p>
    <w:p w:rsidR="006D71A2" w:rsidRDefault="00000000">
      <w:pPr>
        <w:spacing w:after="40"/>
        <w:ind w:left="340" w:hanging="227"/>
      </w:pPr>
      <w:r>
        <w:t>• отображение перечня доступных банковских и иных продуктов;</w:t>
      </w:r>
    </w:p>
    <w:p w:rsidR="006D71A2" w:rsidRDefault="00000000">
      <w:pPr>
        <w:spacing w:after="40"/>
        <w:ind w:left="340" w:hanging="227"/>
      </w:pPr>
      <w:r>
        <w:t>• предоставление пользователям информации об условиях, целевых действиях, ограничениях и вознаграждениях;</w:t>
      </w:r>
    </w:p>
    <w:p w:rsidR="006D71A2" w:rsidRDefault="00000000">
      <w:pPr>
        <w:spacing w:after="40"/>
        <w:ind w:left="340" w:hanging="227"/>
      </w:pPr>
      <w:r>
        <w:t>• группировка офферов по категориям и иным признакам;</w:t>
      </w:r>
    </w:p>
    <w:p w:rsidR="006D71A2" w:rsidRDefault="00000000">
      <w:pPr>
        <w:spacing w:after="40"/>
        <w:ind w:left="340" w:hanging="227"/>
      </w:pPr>
      <w:r>
        <w:t>• управление доступностью офферов в зависимости от ролей и настроек платформы.</w:t>
      </w:r>
    </w:p>
    <w:p w:rsidR="006D71A2" w:rsidRDefault="00000000">
      <w:pPr>
        <w:pStyle w:val="HeadingCustom2"/>
        <w:spacing w:before="80" w:after="100"/>
      </w:pPr>
      <w:r>
        <w:t>4.3. Формирование и сопровождение заявок</w:t>
      </w:r>
    </w:p>
    <w:p w:rsidR="006D71A2" w:rsidRDefault="00000000">
      <w:pPr>
        <w:spacing w:after="40"/>
        <w:ind w:left="340" w:hanging="227"/>
      </w:pPr>
      <w:r>
        <w:t>• создание заявок по выбранным продуктам;</w:t>
      </w:r>
    </w:p>
    <w:p w:rsidR="006D71A2" w:rsidRDefault="00000000">
      <w:pPr>
        <w:spacing w:after="40"/>
        <w:ind w:left="340" w:hanging="227"/>
      </w:pPr>
      <w:r>
        <w:t>• проверка обязательных полей и базовая валидация введенных данных;</w:t>
      </w:r>
    </w:p>
    <w:p w:rsidR="006D71A2" w:rsidRDefault="00000000">
      <w:pPr>
        <w:spacing w:after="40"/>
        <w:ind w:left="340" w:hanging="227"/>
      </w:pPr>
      <w:r>
        <w:t>• присвоение заявке внутреннего идентификатора и фиксация даты создания;</w:t>
      </w:r>
    </w:p>
    <w:p w:rsidR="006D71A2" w:rsidRDefault="00000000">
      <w:pPr>
        <w:spacing w:after="40"/>
        <w:ind w:left="340" w:hanging="227"/>
      </w:pPr>
      <w:r>
        <w:t>• передача сведений по заявке на последующие этапы обработки;</w:t>
      </w:r>
    </w:p>
    <w:p w:rsidR="006D71A2" w:rsidRDefault="00000000">
      <w:pPr>
        <w:spacing w:after="40"/>
        <w:ind w:left="340" w:hanging="227"/>
      </w:pPr>
      <w:r>
        <w:t>• просмотр карточки заявки, истории изменений и текущего статуса.</w:t>
      </w:r>
    </w:p>
    <w:p w:rsidR="006D71A2" w:rsidRDefault="00000000">
      <w:pPr>
        <w:pStyle w:val="HeadingCustom2"/>
        <w:spacing w:before="80" w:after="100"/>
      </w:pPr>
      <w:r>
        <w:t>4.4. Отслеживание статусов и событий</w:t>
      </w:r>
    </w:p>
    <w:p w:rsidR="006D71A2" w:rsidRDefault="00000000">
      <w:pPr>
        <w:spacing w:after="40"/>
        <w:ind w:left="340" w:hanging="227"/>
      </w:pPr>
      <w:r>
        <w:t>• учет жизненного цикла заявки от момента создания до наступления результата, имеющего значение для выплаты;</w:t>
      </w:r>
    </w:p>
    <w:p w:rsidR="006D71A2" w:rsidRDefault="00000000">
      <w:pPr>
        <w:spacing w:after="40"/>
        <w:ind w:left="340" w:hanging="227"/>
      </w:pPr>
      <w:r>
        <w:t>• сопоставление внутренних и внешних статусов обработки;</w:t>
      </w:r>
    </w:p>
    <w:p w:rsidR="006D71A2" w:rsidRDefault="00000000">
      <w:pPr>
        <w:spacing w:after="40"/>
        <w:ind w:left="340" w:hanging="227"/>
      </w:pPr>
      <w:r>
        <w:t>• фиксация истории статусов и иных событий по заявке;</w:t>
      </w:r>
    </w:p>
    <w:p w:rsidR="006D71A2" w:rsidRDefault="00000000">
      <w:pPr>
        <w:spacing w:after="40"/>
        <w:ind w:left="340" w:hanging="227"/>
      </w:pPr>
      <w:r>
        <w:t>• предоставление пользователю сведений о причине отклонения либо перехода заявки на следующий этап при наличии соответствующих данных.</w:t>
      </w:r>
    </w:p>
    <w:p w:rsidR="006D71A2" w:rsidRDefault="00000000">
      <w:pPr>
        <w:pStyle w:val="HeadingCustom2"/>
        <w:spacing w:before="80" w:after="100"/>
      </w:pPr>
      <w:r>
        <w:t>4.5. Реферальные инструменты и учет источников</w:t>
      </w:r>
    </w:p>
    <w:p w:rsidR="006D71A2" w:rsidRDefault="00000000">
      <w:pPr>
        <w:spacing w:after="40"/>
        <w:ind w:left="340" w:hanging="227"/>
      </w:pPr>
      <w:r>
        <w:t>• формирование персонализированных ссылок и иных идентификаторов источника;</w:t>
      </w:r>
    </w:p>
    <w:p w:rsidR="006D71A2" w:rsidRDefault="00000000">
      <w:pPr>
        <w:spacing w:after="40"/>
        <w:ind w:left="340" w:hanging="227"/>
      </w:pPr>
      <w:r>
        <w:t>• учет переходов, заявок и результатов в привязке к пользователю и источнику;</w:t>
      </w:r>
    </w:p>
    <w:p w:rsidR="006D71A2" w:rsidRDefault="00000000">
      <w:pPr>
        <w:spacing w:after="40"/>
        <w:ind w:left="340" w:hanging="227"/>
      </w:pPr>
      <w:r>
        <w:t>• использование параметров для атрибуции и последующего анализа эффективности.</w:t>
      </w:r>
    </w:p>
    <w:p w:rsidR="006D71A2" w:rsidRDefault="00000000">
      <w:pPr>
        <w:pStyle w:val="HeadingCustom2"/>
        <w:spacing w:before="80" w:after="100"/>
      </w:pPr>
      <w:r>
        <w:t>4.6. Аналитика, отчеты и расчеты</w:t>
      </w:r>
    </w:p>
    <w:p w:rsidR="006D71A2" w:rsidRDefault="00000000">
      <w:pPr>
        <w:spacing w:after="40"/>
        <w:ind w:left="340" w:hanging="227"/>
      </w:pPr>
      <w:r>
        <w:t>• отображение статистики по заявкам, статусам, конверсии и иным ключевым показателям;</w:t>
      </w:r>
    </w:p>
    <w:p w:rsidR="006D71A2" w:rsidRDefault="00000000">
      <w:pPr>
        <w:spacing w:after="40"/>
        <w:ind w:left="340" w:hanging="227"/>
      </w:pPr>
      <w:r>
        <w:lastRenderedPageBreak/>
        <w:t>• предоставление пользователям сведений о начислениях, периодах и выплатах;</w:t>
      </w:r>
    </w:p>
    <w:p w:rsidR="006D71A2" w:rsidRDefault="00000000">
      <w:pPr>
        <w:spacing w:after="40"/>
        <w:ind w:left="340" w:hanging="227"/>
      </w:pPr>
      <w:r>
        <w:t>• формирование выборок и выгрузок для внутреннего использования;</w:t>
      </w:r>
    </w:p>
    <w:p w:rsidR="006D71A2" w:rsidRDefault="00000000">
      <w:pPr>
        <w:spacing w:after="40"/>
        <w:ind w:left="340" w:hanging="227"/>
      </w:pPr>
      <w:r>
        <w:t>• подготовка данных для расчетов и бухгалтерского сопровождения.</w:t>
      </w:r>
    </w:p>
    <w:p w:rsidR="006D71A2" w:rsidRDefault="00000000">
      <w:pPr>
        <w:pStyle w:val="HeadingCustom2"/>
        <w:spacing w:before="80" w:after="100"/>
      </w:pPr>
      <w:r>
        <w:t>4.7. Уведомления и обратная связь</w:t>
      </w:r>
    </w:p>
    <w:p w:rsidR="006D71A2" w:rsidRDefault="00000000">
      <w:pPr>
        <w:spacing w:after="40"/>
        <w:ind w:left="340" w:hanging="227"/>
      </w:pPr>
      <w:r>
        <w:t>• информирование пользователей об изменении статусов заявок и иных значимых событиях;</w:t>
      </w:r>
    </w:p>
    <w:p w:rsidR="006D71A2" w:rsidRDefault="00000000">
      <w:pPr>
        <w:spacing w:after="40"/>
        <w:ind w:left="340" w:hanging="227"/>
      </w:pPr>
      <w:r>
        <w:t>• отображение уведомлений в интерфейсе программы и/или направление сообщений по электронным каналам связи;</w:t>
      </w:r>
    </w:p>
    <w:p w:rsidR="006D71A2" w:rsidRDefault="00000000">
      <w:pPr>
        <w:spacing w:after="40"/>
        <w:ind w:left="340" w:hanging="227"/>
      </w:pPr>
      <w:r>
        <w:t>• регистрация обращений пользователей в рамках процессов сопровождения.</w:t>
      </w:r>
    </w:p>
    <w:p w:rsidR="006D71A2" w:rsidRDefault="00000000">
      <w:pPr>
        <w:pStyle w:val="HeadingCustom2"/>
        <w:spacing w:before="80" w:after="100"/>
      </w:pPr>
      <w:r>
        <w:t>4.8. Администрирование</w:t>
      </w:r>
    </w:p>
    <w:p w:rsidR="006D71A2" w:rsidRDefault="00000000">
      <w:pPr>
        <w:spacing w:after="40"/>
        <w:ind w:left="340" w:hanging="227"/>
      </w:pPr>
      <w:r>
        <w:t>• управление пользователями, ролями и правами доступа;</w:t>
      </w:r>
    </w:p>
    <w:p w:rsidR="006D71A2" w:rsidRDefault="00000000">
      <w:pPr>
        <w:spacing w:after="40"/>
        <w:ind w:left="340" w:hanging="227"/>
      </w:pPr>
      <w:r>
        <w:t>• ведение справочников, системных настроек и параметров интеграций;</w:t>
      </w:r>
    </w:p>
    <w:p w:rsidR="006D71A2" w:rsidRDefault="00000000">
      <w:pPr>
        <w:spacing w:after="40"/>
        <w:ind w:left="340" w:hanging="227"/>
      </w:pPr>
      <w:r>
        <w:t>• просмотр журналов событий и технических сообщений, необходимых для сопровождения;</w:t>
      </w:r>
    </w:p>
    <w:p w:rsidR="006D71A2" w:rsidRDefault="00000000">
      <w:pPr>
        <w:spacing w:after="40"/>
        <w:ind w:left="340" w:hanging="227"/>
      </w:pPr>
      <w:r>
        <w:t>• подготовка системы к выпуску обновлений, изменениям конфигурации и контролю эксплуатационных параметров.</w:t>
      </w:r>
    </w:p>
    <w:p w:rsidR="006D71A2" w:rsidRDefault="00000000">
      <w:pPr>
        <w:pStyle w:val="HeadingCustom1"/>
        <w:spacing w:before="160" w:after="100"/>
      </w:pPr>
      <w:r>
        <w:t>5. Основные пользовательские сценарии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1. </w:t>
      </w:r>
      <w:r>
        <w:t>Пользователь проходит регистрацию и получает доступ к личному кабинету.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2. </w:t>
      </w:r>
      <w:r>
        <w:t>Пользователь выбирает оффер из доступного перечня и знакомится с его условиями.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3. </w:t>
      </w:r>
      <w:r>
        <w:t>Пользователь формирует заявку и передает данные через интерфейс программы.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4. </w:t>
      </w:r>
      <w:r>
        <w:t>Пользователь отслеживает изменение статуса заявки и получает уведомления о значимых событиях.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5. </w:t>
      </w:r>
      <w:r>
        <w:t>Пользователь просматривает показатели по лидам, конверсии, начислениям и выплатам.</w:t>
      </w:r>
    </w:p>
    <w:p w:rsidR="006D71A2" w:rsidRDefault="00000000">
      <w:pPr>
        <w:spacing w:after="40"/>
        <w:ind w:left="227" w:hanging="227"/>
      </w:pPr>
      <w:r>
        <w:rPr>
          <w:b/>
        </w:rPr>
        <w:t xml:space="preserve">6. </w:t>
      </w:r>
      <w:r>
        <w:t>Администратор или уполномоченный сотрудник управляет офферами, статусами, ролями пользователей и аналитикой.</w:t>
      </w:r>
    </w:p>
    <w:p w:rsidR="006D71A2" w:rsidRDefault="00000000">
      <w:pPr>
        <w:pStyle w:val="HeadingCustom1"/>
        <w:spacing w:before="160" w:after="100"/>
      </w:pPr>
      <w:r>
        <w:t>6. Условия функционирования</w:t>
      </w:r>
    </w:p>
    <w:p w:rsidR="006D71A2" w:rsidRDefault="00000000">
      <w:pPr>
        <w:spacing w:after="40"/>
        <w:ind w:left="340" w:hanging="227"/>
      </w:pPr>
      <w:r>
        <w:t>• работа осуществляется через веб-интерфейс с использованием актуального интернет-браузера;</w:t>
      </w:r>
    </w:p>
    <w:p w:rsidR="006D71A2" w:rsidRDefault="00000000">
      <w:pPr>
        <w:spacing w:after="40"/>
        <w:ind w:left="340" w:hanging="227"/>
      </w:pPr>
      <w:r>
        <w:t>• доступ к функционалу предоставляется после авторизации пользователя;</w:t>
      </w:r>
    </w:p>
    <w:p w:rsidR="006D71A2" w:rsidRDefault="00000000">
      <w:pPr>
        <w:spacing w:after="40"/>
        <w:ind w:left="340" w:hanging="227"/>
      </w:pPr>
      <w:r>
        <w:t>• часть функций может быть доступна только определенным ролям;</w:t>
      </w:r>
    </w:p>
    <w:p w:rsidR="006D71A2" w:rsidRDefault="00000000">
      <w:pPr>
        <w:spacing w:after="40"/>
        <w:ind w:left="340" w:hanging="227"/>
      </w:pPr>
      <w:r>
        <w:t>• программа функционирует в круглосуточном режиме, за исключением регламентных и аварийных работ.</w:t>
      </w:r>
    </w:p>
    <w:p w:rsidR="006D71A2" w:rsidRDefault="00000000">
      <w:pPr>
        <w:pStyle w:val="HeadingCustom1"/>
        <w:spacing w:before="160" w:after="100"/>
      </w:pPr>
      <w:r>
        <w:t>7. Ограничения и особенности</w:t>
      </w:r>
    </w:p>
    <w:p w:rsidR="006D71A2" w:rsidRDefault="00000000">
      <w:pPr>
        <w:spacing w:after="40"/>
        <w:ind w:left="340" w:hanging="227"/>
      </w:pPr>
      <w:r>
        <w:t>• объем доступного пользователю функционала зависит от присвоенной роли и настроек доступа;</w:t>
      </w:r>
    </w:p>
    <w:p w:rsidR="006D71A2" w:rsidRDefault="00000000">
      <w:pPr>
        <w:spacing w:after="40"/>
        <w:ind w:left="340" w:hanging="227"/>
      </w:pPr>
      <w:r>
        <w:t>• передача статусов и некоторых результатов обработки может зависеть от обмена данными с внешними системами;</w:t>
      </w:r>
    </w:p>
    <w:p w:rsidR="006D71A2" w:rsidRDefault="00000000">
      <w:pPr>
        <w:spacing w:after="40"/>
        <w:ind w:left="340" w:hanging="227"/>
      </w:pPr>
      <w:r>
        <w:t>• часть справочной и расчетной информации отображается на основании данных, загруженных в программу из внутренних и внешних источников.</w:t>
      </w:r>
    </w:p>
    <w:p w:rsidR="006D71A2" w:rsidRDefault="00000000">
      <w:pPr>
        <w:pStyle w:val="HeadingCustom1"/>
        <w:spacing w:before="160" w:after="100"/>
      </w:pPr>
      <w:r>
        <w:lastRenderedPageBreak/>
        <w:t>8. Вывод</w:t>
      </w:r>
    </w:p>
    <w:p w:rsidR="006D71A2" w:rsidRDefault="00000000">
      <w:pPr>
        <w:ind w:firstLine="709"/>
        <w:jc w:val="both"/>
      </w:pPr>
      <w:r>
        <w:t>Программа для ЭВМ «Личный Кабинет Агента. Лика 2.0» представляет собой прикладное программное обеспечение класса CRM, предназначенное для автоматизации процесса взаимодействия с агентами и партнерами, ведения заявок, учета статусов, расчетов и аналитики в рамках деятельности правообладателя.</w:t>
      </w:r>
    </w:p>
    <w:sectPr w:rsidR="006D71A2" w:rsidSect="00034616">
      <w:headerReference w:type="default" r:id="rId8"/>
      <w:footerReference w:type="default" r:id="rId9"/>
      <w:pgSz w:w="12240" w:h="15840"/>
      <w:pgMar w:top="1134" w:right="1020" w:bottom="1020" w:left="1247" w:header="720" w:footer="720" w:gutter="0"/>
      <w:pgBorders w:offsetFrom="page">
        <w:top w:val="single" w:sz="4" w:space="18" w:color="D9D9D9"/>
        <w:left w:val="single" w:sz="4" w:space="18" w:color="D9D9D9"/>
        <w:bottom w:val="single" w:sz="4" w:space="18" w:color="D9D9D9"/>
        <w:right w:val="single" w:sz="4" w:space="18" w:color="D9D9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D92" w:rsidRDefault="00592D92">
      <w:pPr>
        <w:spacing w:after="0" w:line="240" w:lineRule="auto"/>
      </w:pPr>
      <w:r>
        <w:separator/>
      </w:r>
    </w:p>
  </w:endnote>
  <w:endnote w:type="continuationSeparator" w:id="0">
    <w:p w:rsidR="00592D92" w:rsidRDefault="005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1A2" w:rsidRDefault="00000000">
    <w:pPr>
      <w:pStyle w:val="a7"/>
      <w:jc w:val="center"/>
    </w:pPr>
    <w:r>
      <w:rPr>
        <w:i/>
        <w:sz w:val="18"/>
      </w:rPr>
      <w:t>ООО «РКО ГРУПП»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D92" w:rsidRDefault="00592D92">
      <w:pPr>
        <w:spacing w:after="0" w:line="240" w:lineRule="auto"/>
      </w:pPr>
      <w:r>
        <w:separator/>
      </w:r>
    </w:p>
  </w:footnote>
  <w:footnote w:type="continuationSeparator" w:id="0">
    <w:p w:rsidR="00592D92" w:rsidRDefault="0059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1A2" w:rsidRPr="00DC1DFC" w:rsidRDefault="00000000">
    <w:pPr>
      <w:pStyle w:val="a5"/>
      <w:jc w:val="right"/>
      <w:rPr>
        <w:lang w:val="ru-RU"/>
      </w:rPr>
    </w:pPr>
    <w:r w:rsidRPr="00DC1DFC">
      <w:rPr>
        <w:i/>
        <w:sz w:val="18"/>
        <w:lang w:val="ru-RU"/>
      </w:rPr>
      <w:t>Личный Кабинет Агента. Лика 2.0 — Описание функциональных характеристик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310949">
    <w:abstractNumId w:val="8"/>
  </w:num>
  <w:num w:numId="2" w16cid:durableId="978680814">
    <w:abstractNumId w:val="6"/>
  </w:num>
  <w:num w:numId="3" w16cid:durableId="579102902">
    <w:abstractNumId w:val="5"/>
  </w:num>
  <w:num w:numId="4" w16cid:durableId="498691889">
    <w:abstractNumId w:val="4"/>
  </w:num>
  <w:num w:numId="5" w16cid:durableId="480930821">
    <w:abstractNumId w:val="7"/>
  </w:num>
  <w:num w:numId="6" w16cid:durableId="399060064">
    <w:abstractNumId w:val="3"/>
  </w:num>
  <w:num w:numId="7" w16cid:durableId="580680492">
    <w:abstractNumId w:val="2"/>
  </w:num>
  <w:num w:numId="8" w16cid:durableId="1690569283">
    <w:abstractNumId w:val="1"/>
  </w:num>
  <w:num w:numId="9" w16cid:durableId="21183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2D92"/>
    <w:rsid w:val="006D71A2"/>
    <w:rsid w:val="00AA1D8D"/>
    <w:rsid w:val="00B47730"/>
    <w:rsid w:val="00CB0664"/>
    <w:rsid w:val="00DC1DFC"/>
    <w:rsid w:val="00FC693F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93DE220-B3A9-4C33-9139-284C307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basedOn w:val="a1"/>
    <w:rPr>
      <w:b/>
      <w:sz w:val="36"/>
    </w:rPr>
  </w:style>
  <w:style w:type="paragraph" w:customStyle="1" w:styleId="SubTitleCenter">
    <w:name w:val="SubTitle Center"/>
    <w:basedOn w:val="a1"/>
  </w:style>
  <w:style w:type="paragraph" w:customStyle="1" w:styleId="HeadingCustom1">
    <w:name w:val="Heading Custom 1"/>
    <w:basedOn w:val="a1"/>
    <w:rPr>
      <w:b/>
      <w:sz w:val="28"/>
    </w:rPr>
  </w:style>
  <w:style w:type="paragraph" w:customStyle="1" w:styleId="HeadingCustom2">
    <w:name w:val="Heading Custom 2"/>
    <w:basedOn w:val="a1"/>
    <w:rPr>
      <w:b/>
    </w:rPr>
  </w:style>
  <w:style w:type="paragraph" w:customStyle="1" w:styleId="TableText">
    <w:name w:val="Table Text"/>
    <w:basedOn w:val="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Robo cat</cp:lastModifiedBy>
  <cp:revision>2</cp:revision>
  <dcterms:created xsi:type="dcterms:W3CDTF">2026-03-26T14:53:00Z</dcterms:created>
  <dcterms:modified xsi:type="dcterms:W3CDTF">2026-03-26T14:53:00Z</dcterms:modified>
  <cp:category/>
</cp:coreProperties>
</file>